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6E81DC55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Digital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4E01D530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 xml:space="preserve">……….. de </w:t>
      </w:r>
      <w:r w:rsidR="00B73E19">
        <w:rPr>
          <w:rFonts w:ascii="Calibri" w:eastAsia="Calibri" w:hAnsi="Calibri" w:cs="Arial"/>
        </w:rPr>
        <w:t>2020</w:t>
      </w:r>
      <w:bookmarkStart w:id="0" w:name="_GoBack"/>
      <w:bookmarkEnd w:id="0"/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10"/>
      <w:footerReference w:type="default" r:id="rId11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B73E19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3E19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359ED3-8C4D-42FD-AABE-BAB2DC81F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5E294E-810C-40BD-8650-07750A43CC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BACDB6-9D5A-431E-95E2-61D1A22EA24D}">
  <ds:schemaRefs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c42bb305-7c96-443b-ba11-eeaedce0e1b2"/>
    <ds:schemaRef ds:uri="755f846a-ae57-488a-9a00-82a955537c7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1100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CR. Rodríguez Cano</cp:lastModifiedBy>
  <cp:revision>2</cp:revision>
  <cp:lastPrinted>2016-10-28T11:19:00Z</cp:lastPrinted>
  <dcterms:created xsi:type="dcterms:W3CDTF">2020-10-07T08:05:00Z</dcterms:created>
  <dcterms:modified xsi:type="dcterms:W3CDTF">2020-10-07T08:05:00Z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