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Rule="auto"/>
        <w:jc w:val="center"/>
        <w:rPr>
          <w:rFonts w:ascii="Calibri" w:cs="Calibri" w:eastAsia="Calibri" w:hAnsi="Calibri"/>
          <w:b w:val="0"/>
          <w:color w:val="c0000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3708400</wp:posOffset>
                </wp:positionV>
                <wp:extent cx="7569835" cy="2215515"/>
                <wp:effectExtent b="0" l="0" r="0" t="0"/>
                <wp:wrapSquare wrapText="bothSides" distB="0" distT="0" distL="0" distR="0"/>
                <wp:docPr id="19"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3708400</wp:posOffset>
                </wp:positionV>
                <wp:extent cx="7569835" cy="2215515"/>
                <wp:effectExtent b="0" l="0" r="0" t="0"/>
                <wp:wrapSquare wrapText="bothSides" distB="0" distT="0" distL="0" distR="0"/>
                <wp:docPr id="1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69835" cy="22155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922655</wp:posOffset>
            </wp:positionH>
            <wp:positionV relativeFrom="paragraph">
              <wp:posOffset>1895475</wp:posOffset>
            </wp:positionV>
            <wp:extent cx="3725545" cy="750570"/>
            <wp:effectExtent b="0" l="0" r="0" t="0"/>
            <wp:wrapSquare wrapText="bothSides" distB="0" distT="0" distL="114300" distR="114300"/>
            <wp:docPr id="25"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725545" cy="750570"/>
                    </a:xfrm>
                    <a:prstGeom prst="rect"/>
                    <a:ln/>
                  </pic:spPr>
                </pic:pic>
              </a:graphicData>
            </a:graphic>
          </wp:anchor>
        </w:drawing>
      </w:r>
    </w:p>
    <w:p w:rsidR="00000000" w:rsidDel="00000000" w:rsidP="00000000" w:rsidRDefault="00000000" w:rsidRPr="00000000" w14:paraId="00000002">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7">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D">
      <w:pPr>
        <w:tabs>
          <w:tab w:val="left" w:pos="6045"/>
        </w:tabs>
        <w:spacing w:after="120" w:before="120" w:lineRule="auto"/>
        <w:rPr>
          <w:rFonts w:ascii="Calibri" w:cs="Calibri" w:eastAsia="Calibri" w:hAnsi="Calibri"/>
          <w:sz w:val="28"/>
          <w:szCs w:val="28"/>
          <w:vertAlign w:val="baseline"/>
        </w:rPr>
      </w:pPr>
      <w:r w:rsidDel="00000000" w:rsidR="00000000" w:rsidRPr="00000000">
        <w:rPr>
          <w:rFonts w:ascii="Calibri" w:cs="Calibri" w:eastAsia="Calibri" w:hAnsi="Calibri"/>
          <w:sz w:val="28"/>
          <w:szCs w:val="28"/>
          <w:vertAlign w:val="baseline"/>
          <w:rtl w:val="0"/>
        </w:rPr>
        <w:tab/>
      </w:r>
    </w:p>
    <w:p w:rsidR="00000000" w:rsidDel="00000000" w:rsidP="00000000" w:rsidRDefault="00000000" w:rsidRPr="00000000" w14:paraId="0000000E">
      <w:pPr>
        <w:spacing w:after="120" w:before="120" w:lineRule="auto"/>
        <w:rPr>
          <w:rFonts w:ascii="Calibri" w:cs="Calibri" w:eastAsia="Calibri" w:hAnsi="Calibri"/>
          <w:b w:val="0"/>
          <w:color w:val="c00000"/>
          <w:sz w:val="28"/>
          <w:szCs w:val="28"/>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after="240" w:before="360" w:line="360" w:lineRule="auto"/>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w:t>
      </w:r>
      <w:r w:rsidDel="00000000" w:rsidR="00000000" w:rsidRPr="00000000">
        <w:rPr>
          <w:rtl w:val="0"/>
        </w:rPr>
      </w:r>
    </w:p>
    <w:p w:rsidR="00000000" w:rsidDel="00000000" w:rsidP="00000000" w:rsidRDefault="00000000" w:rsidRPr="00000000" w14:paraId="00000010">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p w:rsidR="00000000" w:rsidDel="00000000" w:rsidP="00000000" w:rsidRDefault="00000000" w:rsidRPr="00000000" w14:paraId="00000011">
      <w:pPr>
        <w:widowControl w:val="1"/>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 de </w:t>
      </w:r>
      <w:r w:rsidDel="00000000" w:rsidR="00000000" w:rsidRPr="00000000">
        <w:rPr>
          <w:rFonts w:ascii="Calibri" w:cs="Calibri" w:eastAsia="Calibri" w:hAnsi="Calibri"/>
          <w:sz w:val="20"/>
          <w:szCs w:val="20"/>
          <w:highlight w:val="yellow"/>
          <w:vertAlign w:val="baseline"/>
          <w:rtl w:val="0"/>
        </w:rPr>
        <w:t xml:space="preserve">___________</w:t>
      </w:r>
      <w:r w:rsidDel="00000000" w:rsidR="00000000" w:rsidRPr="00000000">
        <w:rPr>
          <w:rtl w:val="0"/>
        </w:rPr>
      </w:r>
    </w:p>
    <w:p w:rsidR="00000000" w:rsidDel="00000000" w:rsidP="00000000" w:rsidRDefault="00000000" w:rsidRPr="00000000" w14:paraId="00000012">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p w:rsidR="00000000" w:rsidDel="00000000" w:rsidP="00000000" w:rsidRDefault="00000000" w:rsidRPr="00000000" w14:paraId="00000013">
      <w:pPr>
        <w:widowControl w:val="1"/>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p w:rsidR="00000000" w:rsidDel="00000000" w:rsidP="00000000" w:rsidRDefault="00000000" w:rsidRPr="00000000" w14:paraId="00000014">
      <w:pPr>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p w:rsidR="00000000" w:rsidDel="00000000" w:rsidP="00000000" w:rsidRDefault="00000000" w:rsidRPr="00000000" w14:paraId="00000015">
      <w:pPr>
        <w:spacing w:after="120" w:before="24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p w:rsidR="00000000" w:rsidDel="00000000" w:rsidP="00000000" w:rsidRDefault="00000000" w:rsidRPr="00000000" w14:paraId="0000001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InnoCámaras se incluye en el “Programa Operativo Plurirregional de España FEDER 2014-2020” (en adelante POPE) aprobado por la Comisión Europea en la Decisión de ejecución de 19.12.2017, C (2017) 8950 final.</w:t>
      </w:r>
    </w:p>
    <w:p w:rsidR="00000000" w:rsidDel="00000000" w:rsidP="00000000" w:rsidRDefault="00000000" w:rsidRPr="00000000" w14:paraId="0000001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w:t>
      </w:r>
      <w:r w:rsidDel="00000000" w:rsidR="00000000" w:rsidRPr="00000000">
        <w:rPr>
          <w:rFonts w:ascii="Calibri" w:cs="Calibri" w:eastAsia="Calibri" w:hAnsi="Calibri"/>
          <w:sz w:val="20"/>
          <w:szCs w:val="20"/>
          <w:vertAlign w:val="baseline"/>
          <w:rtl w:val="0"/>
        </w:rPr>
        <w:t xml:space="preserve">– 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18">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InnoCámaras,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1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(en adelante, la Cámara) han suscrito un convenio de colaboración para el desarrollo del Programa InnoCámaras por el que la Cámara se compromete a desarrollar el Programa en su demarcación, en base al presupuesto que tiene disponible.</w:t>
      </w:r>
    </w:p>
    <w:p w:rsidR="00000000" w:rsidDel="00000000" w:rsidP="00000000" w:rsidRDefault="00000000" w:rsidRPr="00000000" w14:paraId="0000001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InnoCámaras tiene como objetivo</w:t>
      </w:r>
      <w:r w:rsidDel="00000000" w:rsidR="00000000" w:rsidRPr="00000000">
        <w:rPr>
          <w:vertAlign w:val="baseline"/>
          <w:rtl w:val="0"/>
        </w:rPr>
        <w:t xml:space="preserve"> </w:t>
      </w:r>
      <w:r w:rsidDel="00000000" w:rsidR="00000000" w:rsidRPr="00000000">
        <w:rPr>
          <w:rFonts w:ascii="Calibri" w:cs="Calibri" w:eastAsia="Calibri" w:hAnsi="Calibri"/>
          <w:sz w:val="20"/>
          <w:szCs w:val="20"/>
          <w:vertAlign w:val="baseline"/>
          <w:rtl w:val="0"/>
        </w:rPr>
        <w:t xml:space="preserve">principal contribuir a la mejora de la competitividad de las PYME, mediante la adopción de una cultura a favor de la innovación permanente para lograr un crecimiento económico sostenido.</w:t>
      </w:r>
    </w:p>
    <w:p w:rsidR="00000000" w:rsidDel="00000000" w:rsidP="00000000" w:rsidRDefault="00000000" w:rsidRPr="00000000" w14:paraId="0000001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el Programa contempla dos fases diferenciadas: Fase de Asesoramiento y Fase de Implantación.</w:t>
      </w:r>
    </w:p>
    <w:p w:rsidR="00000000" w:rsidDel="00000000" w:rsidP="00000000" w:rsidRDefault="00000000" w:rsidRPr="00000000" w14:paraId="0000001C">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p w:rsidR="00000000" w:rsidDel="00000000" w:rsidP="00000000" w:rsidRDefault="00000000" w:rsidRPr="00000000" w14:paraId="0000001D">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p w:rsidR="00000000" w:rsidDel="00000000" w:rsidP="00000000" w:rsidRDefault="00000000" w:rsidRPr="00000000" w14:paraId="0000001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tutor que le guiará y acompañará durante todo este proceso, siguiendo para ello la metodología específica del Programa.</w:t>
      </w:r>
    </w:p>
    <w:p w:rsidR="00000000" w:rsidDel="00000000" w:rsidP="00000000" w:rsidRDefault="00000000" w:rsidRPr="00000000" w14:paraId="0000001F">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de Soluciones Innovadoras tiene como objetivo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p w:rsidR="00000000" w:rsidDel="00000000" w:rsidP="00000000" w:rsidRDefault="00000000" w:rsidRPr="00000000" w14:paraId="0000002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tras presentar su solicitud de participación a raíz de la convocatoria pública de ayudas, ha sido seleccionada de acuerdo con los criterios de selección publicados en la convocatoria, para ser beneficiaria del Programa InnoCámaras,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tl w:val="0"/>
        </w:rPr>
      </w:r>
    </w:p>
    <w:p w:rsidR="00000000" w:rsidDel="00000000" w:rsidP="00000000" w:rsidRDefault="00000000" w:rsidRPr="00000000" w14:paraId="00000022">
      <w:pPr>
        <w:spacing w:after="120" w:before="240" w:line="360" w:lineRule="auto"/>
        <w:jc w:val="both"/>
        <w:rPr>
          <w:rFonts w:ascii="Calibri" w:cs="Calibri" w:eastAsia="Calibri" w:hAnsi="Calibri"/>
          <w:sz w:val="20"/>
          <w:szCs w:val="20"/>
          <w:vertAlign w:val="baseline"/>
        </w:rPr>
      </w:pPr>
      <w:r w:rsidDel="00000000" w:rsidR="00000000" w:rsidRPr="00000000">
        <w:br w:type="page"/>
      </w: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23">
      <w:pPr>
        <w:spacing w:after="120" w:before="12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p w:rsidR="00000000" w:rsidDel="00000000" w:rsidP="00000000" w:rsidRDefault="00000000" w:rsidRPr="00000000" w14:paraId="0000002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InnoCámaras.</w:t>
      </w:r>
    </w:p>
    <w:p w:rsidR="00000000" w:rsidDel="00000000" w:rsidP="00000000" w:rsidRDefault="00000000" w:rsidRPr="00000000" w14:paraId="0000002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2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p w:rsidR="00000000" w:rsidDel="00000000" w:rsidP="00000000" w:rsidRDefault="00000000" w:rsidRPr="00000000" w14:paraId="0000002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siguientes actuación:</w:t>
      </w:r>
    </w:p>
    <w:p w:rsidR="00000000" w:rsidDel="00000000" w:rsidP="00000000" w:rsidRDefault="00000000" w:rsidRPr="00000000" w14:paraId="00000028">
      <w:pPr>
        <w:numPr>
          <w:ilvl w:val="0"/>
          <w:numId w:val="5"/>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p w:rsidR="00000000" w:rsidDel="00000000" w:rsidP="00000000" w:rsidRDefault="00000000" w:rsidRPr="00000000" w14:paraId="0000002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p w:rsidR="00000000" w:rsidDel="00000000" w:rsidP="00000000" w:rsidRDefault="00000000" w:rsidRPr="00000000" w14:paraId="0000002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highlight w:val="yellow"/>
          <w:vertAlign w:val="baseline"/>
          <w:rtl w:val="0"/>
        </w:rPr>
        <w:t xml:space="preserve"> Estas actuaciones, además, forman parte de la Inversión Territorial Integrada (ITI) (2014-2020) de la Provincia de Cádiz.</w:t>
      </w:r>
      <w:r w:rsidDel="00000000" w:rsidR="00000000" w:rsidRPr="00000000">
        <w:rPr>
          <w:rtl w:val="0"/>
        </w:rPr>
      </w:r>
    </w:p>
    <w:p w:rsidR="00000000" w:rsidDel="00000000" w:rsidP="00000000" w:rsidRDefault="00000000" w:rsidRPr="00000000" w14:paraId="0000002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InnoCámaras, en </w:t>
      </w:r>
      <w:r w:rsidDel="00000000" w:rsidR="00000000" w:rsidRPr="00000000">
        <w:rPr>
          <w:rFonts w:ascii="Calibri" w:cs="Calibri" w:eastAsia="Calibri" w:hAnsi="Calibri"/>
          <w:sz w:val="20"/>
          <w:szCs w:val="20"/>
          <w:highlight w:val="yellow"/>
          <w:vertAlign w:val="baseline"/>
          <w:rtl w:val="0"/>
        </w:rPr>
        <w:t xml:space="preserve">la Fase de Asesoramiento y Fase de Implantación/ Fase de Asesoramiento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w:t>
      </w:r>
    </w:p>
    <w:p w:rsidR="00000000" w:rsidDel="00000000" w:rsidP="00000000" w:rsidRDefault="00000000" w:rsidRPr="00000000" w14:paraId="0000002C">
      <w:pPr>
        <w:numPr>
          <w:ilvl w:val="0"/>
          <w:numId w:val="2"/>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la ejecución de la </w:t>
      </w:r>
      <w:r w:rsidDel="00000000" w:rsidR="00000000" w:rsidRPr="00000000">
        <w:rPr>
          <w:rFonts w:ascii="Calibri" w:cs="Calibri" w:eastAsia="Calibri" w:hAnsi="Calibri"/>
          <w:b w:val="1"/>
          <w:sz w:val="20"/>
          <w:szCs w:val="20"/>
          <w:vertAlign w:val="baseline"/>
          <w:rtl w:val="0"/>
        </w:rPr>
        <w:t xml:space="preserve">Fase de Asesoramiento Individualizado</w:t>
      </w:r>
      <w:r w:rsidDel="00000000" w:rsidR="00000000" w:rsidRPr="00000000">
        <w:rPr>
          <w:rFonts w:ascii="Calibri" w:cs="Calibri" w:eastAsia="Calibri" w:hAnsi="Calibri"/>
          <w:sz w:val="20"/>
          <w:szCs w:val="20"/>
          <w:vertAlign w:val="baseline"/>
          <w:rtl w:val="0"/>
        </w:rPr>
        <w:t xml:space="preserve">,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p w:rsidR="00000000" w:rsidDel="00000000" w:rsidP="00000000" w:rsidRDefault="00000000" w:rsidRPr="00000000" w14:paraId="0000002D">
      <w:pPr>
        <w:spacing w:after="120" w:before="120" w:line="360" w:lineRule="auto"/>
        <w:ind w:left="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lo largo del proceso de asesoramiento, la empresa y la Cámara irán intercambiando la información necesaria para ir elaborando el Informe. La Cámara de Comercio, a la finalización de esta fase, entregará un Informe de Recomendaciones a la empresa.</w:t>
      </w:r>
    </w:p>
    <w:p w:rsidR="00000000" w:rsidDel="00000000" w:rsidP="00000000" w:rsidRDefault="00000000" w:rsidRPr="00000000" w14:paraId="0000002E">
      <w:pPr>
        <w:numPr>
          <w:ilvl w:val="0"/>
          <w:numId w:val="2"/>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incluyen como anexo en la convocatoria de ayudas, hasta un importe máximo de 7.000 € (IVA no incluido).</w:t>
      </w:r>
    </w:p>
    <w:p w:rsidR="00000000" w:rsidDel="00000000" w:rsidP="00000000" w:rsidRDefault="00000000" w:rsidRPr="00000000" w14:paraId="0000002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Asesoramiento de Innovación</w:t>
      </w:r>
      <w:r w:rsidDel="00000000" w:rsidR="00000000" w:rsidRPr="00000000">
        <w:rPr>
          <w:rFonts w:ascii="Calibri" w:cs="Calibri" w:eastAsia="Calibri" w:hAnsi="Calibri"/>
          <w:sz w:val="20"/>
          <w:szCs w:val="20"/>
          <w:vertAlign w:val="baseline"/>
          <w:rtl w:val="0"/>
        </w:rPr>
        <w:t xml:space="preserve"> 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Esta fase no tiene coste para la empresa.</w:t>
      </w:r>
    </w:p>
    <w:p w:rsidR="00000000" w:rsidDel="00000000" w:rsidP="00000000" w:rsidRDefault="00000000" w:rsidRPr="00000000" w14:paraId="0000003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3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FEDER y el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La empresa deberá prefinanciar al 100% los gastos y deberá solicitar la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3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480 €,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Este seguimiento no tiene coste para la empresa.</w:t>
      </w:r>
    </w:p>
    <w:p w:rsidR="00000000" w:rsidDel="00000000" w:rsidP="00000000" w:rsidRDefault="00000000" w:rsidRPr="00000000" w14:paraId="0000003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3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3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3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tras comprobar que está al corriente de pago de las obligaciones de Seguridad Social y de Hacienda.   </w:t>
      </w:r>
    </w:p>
    <w:p w:rsidR="00000000" w:rsidDel="00000000" w:rsidP="00000000" w:rsidRDefault="00000000" w:rsidRPr="00000000" w14:paraId="00000037">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vertAlign w:val="baseline"/>
          <w:rtl w:val="0"/>
        </w:rPr>
        <w:t xml:space="preserve">en todo caso, deberá finalizar antes de la fecha de justificación máxima que cada organismo cofinanciador autonómico establezca, que le será indicada por la Cámara de Comercio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38">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asesoramiento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3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p w:rsidR="00000000" w:rsidDel="00000000" w:rsidP="00000000" w:rsidRDefault="00000000" w:rsidRPr="00000000" w14:paraId="0000003B">
      <w:pPr>
        <w:numPr>
          <w:ilvl w:val="0"/>
          <w:numId w:val="3"/>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w:t>
      </w:r>
    </w:p>
    <w:p w:rsidR="00000000" w:rsidDel="00000000" w:rsidP="00000000" w:rsidRDefault="00000000" w:rsidRPr="00000000" w14:paraId="0000003C">
      <w:pPr>
        <w:numPr>
          <w:ilvl w:val="0"/>
          <w:numId w:val="3"/>
        </w:numPr>
        <w:spacing w:after="120" w:before="120" w:line="360" w:lineRule="auto"/>
        <w:ind w:left="357" w:hanging="357"/>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3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p w:rsidR="00000000" w:rsidDel="00000000" w:rsidP="00000000" w:rsidRDefault="00000000" w:rsidRPr="00000000" w14:paraId="0000003E">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InnoCámaras.</w:t>
      </w:r>
    </w:p>
    <w:p w:rsidR="00000000" w:rsidDel="00000000" w:rsidP="00000000" w:rsidRDefault="00000000" w:rsidRPr="00000000" w14:paraId="0000003F">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 a través del uso de la innovación.</w:t>
      </w:r>
    </w:p>
    <w:p w:rsidR="00000000" w:rsidDel="00000000" w:rsidP="00000000" w:rsidRDefault="00000000" w:rsidRPr="00000000" w14:paraId="00000040">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41">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p w:rsidR="00000000" w:rsidDel="00000000" w:rsidP="00000000" w:rsidRDefault="00000000" w:rsidRPr="00000000" w14:paraId="00000042">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43">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44">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45">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4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47">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Contabilidad Separada: las entidades participantes deberán mantener un sistema de contabilidad separada o una codificación contable adecuada a todas las transacciones relacionadas con cada operación, conforme a lo establecido en el art. 125.4.b del Reglamento (UE)1303/2013 de 17/12/2013.</w:t>
      </w:r>
    </w:p>
    <w:p w:rsidR="00000000" w:rsidDel="00000000" w:rsidP="00000000" w:rsidRDefault="00000000" w:rsidRPr="00000000" w14:paraId="00000048">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Intercambio electrónico de datos: conforme a lo establecido en el artículo 122.3 del Reglamento (UE)1303/2013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49">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A">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Gastos justificados: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B">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C">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D">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000000" w:rsidDel="00000000" w:rsidP="00000000" w:rsidRDefault="00000000" w:rsidRPr="00000000" w14:paraId="0000004E">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F">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50">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51">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52">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InnoCámaras, de conformidad con los Criterios de Selección de Operaciones y a cumplir en todo momento la normativa nacional y comunitaria aplicable.</w:t>
      </w:r>
    </w:p>
    <w:p w:rsidR="00000000" w:rsidDel="00000000" w:rsidP="00000000" w:rsidRDefault="00000000" w:rsidRPr="00000000" w14:paraId="00000053">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54">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55">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5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p w:rsidR="00000000" w:rsidDel="00000000" w:rsidP="00000000" w:rsidRDefault="00000000" w:rsidRPr="00000000" w14:paraId="00000057">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58">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Fonts w:ascii="Calibri" w:cs="Calibri" w:eastAsia="Calibri" w:hAnsi="Calibri"/>
          <w:color w:val="ff0000"/>
          <w:sz w:val="20"/>
          <w:szCs w:val="20"/>
          <w:vertAlign w:val="baseline"/>
          <w:rtl w:val="0"/>
        </w:rPr>
        <w:t xml:space="preserve">.</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59">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 </w:t>
      </w:r>
      <w:r w:rsidDel="00000000" w:rsidR="00000000" w:rsidRPr="00000000">
        <w:rPr>
          <w:rFonts w:ascii="Calibri" w:cs="Calibri" w:eastAsia="Calibri" w:hAnsi="Calibri"/>
          <w:color w:val="ff0000"/>
          <w:sz w:val="20"/>
          <w:szCs w:val="20"/>
          <w:highlight w:val="yellow"/>
          <w:vertAlign w:val="baseline"/>
          <w:rtl w:val="0"/>
        </w:rPr>
        <w:t xml:space="preserve">[30/04/2020, para dar cabida al IRPF, en su caso]</w:t>
      </w:r>
      <w:r w:rsidDel="00000000" w:rsidR="00000000" w:rsidRPr="00000000">
        <w:rPr>
          <w:rtl w:val="0"/>
        </w:rPr>
      </w:r>
    </w:p>
    <w:p w:rsidR="00000000" w:rsidDel="00000000" w:rsidP="00000000" w:rsidRDefault="00000000" w:rsidRPr="00000000" w14:paraId="0000005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p w:rsidR="00000000" w:rsidDel="00000000" w:rsidP="00000000" w:rsidRDefault="00000000" w:rsidRPr="00000000" w14:paraId="0000005B">
      <w:pPr>
        <w:spacing w:after="120" w:before="120" w:line="360" w:lineRule="auto"/>
        <w:jc w:val="both"/>
        <w:rPr>
          <w:rFonts w:ascii="Calibri" w:cs="Calibri" w:eastAsia="Calibri" w:hAnsi="Calibri"/>
          <w:sz w:val="20"/>
          <w:szCs w:val="20"/>
          <w:u w:val="single"/>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p>
    <w:p w:rsidR="00000000" w:rsidDel="00000000" w:rsidP="00000000" w:rsidRDefault="00000000" w:rsidRPr="00000000" w14:paraId="0000005C">
      <w:pPr>
        <w:numPr>
          <w:ilvl w:val="0"/>
          <w:numId w:val="1"/>
        </w:numPr>
        <w:spacing w:after="120" w:before="120" w:line="360" w:lineRule="auto"/>
        <w:ind w:left="284"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(gastos elegibles del Programa – Fase II):</w:t>
      </w:r>
    </w:p>
    <w:p w:rsidR="00000000" w:rsidDel="00000000" w:rsidP="00000000" w:rsidRDefault="00000000" w:rsidRPr="00000000" w14:paraId="0000005D">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euros (IVA no incluido).</w:t>
      </w:r>
    </w:p>
    <w:p w:rsidR="00000000" w:rsidDel="00000000" w:rsidP="00000000" w:rsidRDefault="00000000" w:rsidRPr="00000000" w14:paraId="0000005E">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p w:rsidR="00000000" w:rsidDel="00000000" w:rsidP="00000000" w:rsidRDefault="00000000" w:rsidRPr="00000000" w14:paraId="0000005F">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p w:rsidR="00000000" w:rsidDel="00000000" w:rsidP="00000000" w:rsidRDefault="00000000" w:rsidRPr="00000000" w14:paraId="00000060">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w:t>
      </w:r>
      <w:r w:rsidDel="00000000" w:rsidR="00000000" w:rsidRPr="00000000">
        <w:rPr>
          <w:rFonts w:ascii="Calibri" w:cs="Calibri" w:eastAsia="Calibri" w:hAnsi="Calibri"/>
          <w:sz w:val="20"/>
          <w:szCs w:val="20"/>
          <w:vertAlign w:val="baseline"/>
          <w:rtl w:val="0"/>
        </w:rPr>
        <w:t xml:space="preserve">Cofinanciación empresa</w:t>
      </w:r>
    </w:p>
    <w:p w:rsidR="00000000" w:rsidDel="00000000" w:rsidP="00000000" w:rsidRDefault="00000000" w:rsidRPr="00000000" w14:paraId="0000006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p w:rsidR="00000000" w:rsidDel="00000000" w:rsidP="00000000" w:rsidRDefault="00000000" w:rsidRPr="00000000" w14:paraId="0000006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CO01: número de empresas que reciben ayudas </w:t>
      </w:r>
    </w:p>
    <w:p w:rsidR="00000000" w:rsidDel="00000000" w:rsidP="00000000" w:rsidRDefault="00000000" w:rsidRPr="00000000" w14:paraId="0000006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CO02: número de empresas que reciben subvenciones </w:t>
      </w:r>
    </w:p>
    <w:p w:rsidR="00000000" w:rsidDel="00000000" w:rsidP="00000000" w:rsidRDefault="00000000" w:rsidRPr="00000000" w14:paraId="0000006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CO04: número de empresas que reciben ayuda no financiera </w:t>
      </w:r>
    </w:p>
    <w:p w:rsidR="00000000" w:rsidDel="00000000" w:rsidP="00000000" w:rsidRDefault="00000000" w:rsidRPr="00000000" w14:paraId="0000006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p w:rsidR="00000000" w:rsidDel="00000000" w:rsidP="00000000" w:rsidRDefault="00000000" w:rsidRPr="00000000" w14:paraId="0000006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II – Plan de Implantación de Soluciones Innovadoras deberá reconocer el apoyo de los Fondos a la operación, mostrando:</w:t>
      </w:r>
    </w:p>
    <w:p w:rsidR="00000000" w:rsidDel="00000000" w:rsidP="00000000" w:rsidRDefault="00000000" w:rsidRPr="00000000" w14:paraId="00000067">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w:t>
        <w:tab/>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68">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b)</w:t>
        <w:tab/>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6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p w:rsidR="00000000" w:rsidDel="00000000" w:rsidP="00000000" w:rsidRDefault="00000000" w:rsidRPr="00000000" w14:paraId="0000006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InnoCámaras de la Cámara de Comercio de [nombre de la Cámara].”   </w:t>
      </w:r>
    </w:p>
    <w:p w:rsidR="00000000" w:rsidDel="00000000" w:rsidP="00000000" w:rsidRDefault="00000000" w:rsidRPr="00000000" w14:paraId="0000006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p w:rsidR="00000000" w:rsidDel="00000000" w:rsidP="00000000" w:rsidRDefault="00000000" w:rsidRPr="00000000" w14:paraId="0000006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6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siguiente texto: "</w:t>
      </w:r>
      <w:r w:rsidDel="00000000" w:rsidR="00000000" w:rsidRPr="00000000">
        <w:rPr>
          <w:rFonts w:ascii="Calibri" w:cs="Calibri" w:eastAsia="Calibri" w:hAnsi="Calibri"/>
          <w:i w:val="1"/>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6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6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0">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rsidR="00000000" w:rsidDel="00000000" w:rsidP="00000000" w:rsidRDefault="00000000" w:rsidRPr="00000000" w14:paraId="00000071">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7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a </w:t>
      </w:r>
      <w:r w:rsidDel="00000000" w:rsidR="00000000" w:rsidRPr="00000000">
        <w:rPr>
          <w:rFonts w:ascii="Calibri" w:cs="Calibri" w:eastAsia="Calibri" w:hAnsi="Calibri"/>
          <w:sz w:val="20"/>
          <w:szCs w:val="20"/>
          <w:highlight w:val="yellow"/>
          <w:vertAlign w:val="baseline"/>
          <w:rtl w:val="0"/>
        </w:rPr>
        <w:t xml:space="preserve">[DEFINIR]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73">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p w:rsidR="00000000" w:rsidDel="00000000" w:rsidP="00000000" w:rsidRDefault="00000000" w:rsidRPr="00000000" w14:paraId="00000074">
      <w:pPr>
        <w:spacing w:after="120" w:before="120" w:line="360" w:lineRule="auto"/>
        <w:ind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w:t>
      </w:r>
    </w:p>
    <w:p w:rsidR="00000000" w:rsidDel="00000000" w:rsidP="00000000" w:rsidRDefault="00000000" w:rsidRPr="00000000" w14:paraId="0000007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p w:rsidR="00000000" w:rsidDel="00000000" w:rsidP="00000000" w:rsidRDefault="00000000" w:rsidRPr="00000000" w14:paraId="00000076">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p w:rsidR="00000000" w:rsidDel="00000000" w:rsidP="00000000" w:rsidRDefault="00000000" w:rsidRPr="00000000" w14:paraId="00000077">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78">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p w:rsidR="00000000" w:rsidDel="00000000" w:rsidP="00000000" w:rsidRDefault="00000000" w:rsidRPr="00000000" w14:paraId="00000079">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tab/>
        <w:br w:type="textWrapping"/>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7A">
      <w:pPr>
        <w:tabs>
          <w:tab w:val="left" w:pos="426"/>
        </w:tabs>
        <w:spacing w:after="120" w:before="120" w:line="360" w:lineRule="auto"/>
        <w:ind w:left="426"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los casos en los que no sea posible recabar la firma de la empresa, la Cámara le comunicará por correo certificado su exclusión. Desde el envío de esa comunicación, la empresa se considerará excluida.</w:t>
      </w:r>
    </w:p>
    <w:p w:rsidR="00000000" w:rsidDel="00000000" w:rsidP="00000000" w:rsidRDefault="00000000" w:rsidRPr="00000000" w14:paraId="0000007B">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p w:rsidR="00000000" w:rsidDel="00000000" w:rsidP="00000000" w:rsidRDefault="00000000" w:rsidRPr="00000000" w14:paraId="0000007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7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InnoCámaras, sus objetivos, la normativa aplicable, el proceso de financiación y la cuantía y acepta las condiciones de participación en el Programa.</w:t>
      </w:r>
    </w:p>
    <w:p w:rsidR="00000000" w:rsidDel="00000000" w:rsidP="00000000" w:rsidRDefault="00000000" w:rsidRPr="00000000" w14:paraId="0000007E">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ambas partes firman el presente Convenio por duplicado,</w:t>
      </w:r>
    </w:p>
    <w:tbl>
      <w:tblPr>
        <w:tblStyle w:val="Table1"/>
        <w:tblW w:w="8926.0" w:type="dxa"/>
        <w:jc w:val="left"/>
        <w:tblInd w:w="0.0" w:type="dxa"/>
        <w:tblLayout w:type="fixed"/>
        <w:tblLook w:val="0000"/>
      </w:tblPr>
      <w:tblGrid>
        <w:gridCol w:w="4463"/>
        <w:gridCol w:w="4463"/>
        <w:tblGridChange w:id="0">
          <w:tblGrid>
            <w:gridCol w:w="4463"/>
            <w:gridCol w:w="4463"/>
          </w:tblGrid>
        </w:tblGridChange>
      </w:tblGrid>
      <w:tr>
        <w:tc>
          <w:tcPr>
            <w:vAlign w:val="top"/>
          </w:tcPr>
          <w:p w:rsidR="00000000" w:rsidDel="00000000" w:rsidP="00000000" w:rsidRDefault="00000000" w:rsidRPr="00000000" w14:paraId="0000007F">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p w:rsidR="00000000" w:rsidDel="00000000" w:rsidP="00000000" w:rsidRDefault="00000000" w:rsidRPr="00000000" w14:paraId="00000080">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r>
          </w:p>
          <w:p w:rsidR="00000000" w:rsidDel="00000000" w:rsidP="00000000" w:rsidRDefault="00000000" w:rsidRPr="00000000" w14:paraId="00000081">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tc>
        <w:tc>
          <w:tcPr>
            <w:vAlign w:val="top"/>
          </w:tcPr>
          <w:p w:rsidR="00000000" w:rsidDel="00000000" w:rsidP="00000000" w:rsidRDefault="00000000" w:rsidRPr="00000000" w14:paraId="00000082">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p w:rsidR="00000000" w:rsidDel="00000000" w:rsidP="00000000" w:rsidRDefault="00000000" w:rsidRPr="00000000" w14:paraId="00000083">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empresa</w:t>
            </w:r>
          </w:p>
          <w:p w:rsidR="00000000" w:rsidDel="00000000" w:rsidP="00000000" w:rsidRDefault="00000000" w:rsidRPr="00000000" w14:paraId="00000084">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tc>
      </w:tr>
    </w:tbl>
    <w:p w:rsidR="00000000" w:rsidDel="00000000" w:rsidP="00000000" w:rsidRDefault="00000000" w:rsidRPr="00000000" w14:paraId="00000085">
      <w:pPr>
        <w:jc w:val="both"/>
        <w:rPr>
          <w:rFonts w:ascii="Calibri" w:cs="Calibri" w:eastAsia="Calibri" w:hAnsi="Calibri"/>
          <w:sz w:val="2"/>
          <w:szCs w:val="2"/>
          <w:vertAlign w:val="baseline"/>
        </w:rPr>
      </w:pPr>
      <w:r w:rsidDel="00000000" w:rsidR="00000000" w:rsidRPr="00000000">
        <w:rPr>
          <w:rtl w:val="0"/>
        </w:rPr>
      </w:r>
    </w:p>
    <w:sectPr>
      <w:headerReference r:id="rId9" w:type="default"/>
      <w:headerReference r:id="rId10" w:type="first"/>
      <w:footerReference r:id="rId11" w:type="default"/>
      <w:footerReference r:id="rId12" w:type="first"/>
      <w:pgSz w:h="16837" w:w="11905"/>
      <w:pgMar w:bottom="1701" w:top="1701" w:left="1701" w:right="1418" w:header="709" w:footer="709"/>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spacing w:after="120" w:before="12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8F">
    <w:pPr>
      <w:rPr>
        <w:rFonts w:ascii="Calibri" w:cs="Calibri" w:eastAsia="Calibri" w:hAnsi="Calibri"/>
        <w:b w:val="0"/>
        <w:i w:val="0"/>
        <w:sz w:val="20"/>
        <w:szCs w:val="20"/>
        <w:vertAlign w:val="baseline"/>
      </w:rPr>
    </w:pPr>
    <w:r w:rsidDel="00000000" w:rsidR="00000000" w:rsidRPr="00000000">
      <w:rPr>
        <w:rFonts w:ascii="Calibri" w:cs="Calibri" w:eastAsia="Calibri" w:hAnsi="Calibri"/>
        <w:sz w:val="20"/>
        <w:szCs w:val="20"/>
        <w:vertAlign w:val="baseline"/>
        <w:rtl w:val="0"/>
      </w:rPr>
      <w:t xml:space="preserve">V0219</w:t>
    </w:r>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V0219</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762000</wp:posOffset>
          </wp:positionH>
          <wp:positionV relativeFrom="paragraph">
            <wp:posOffset>-252411</wp:posOffset>
          </wp:positionV>
          <wp:extent cx="1628775" cy="684213"/>
          <wp:effectExtent b="0" l="0" r="0" t="0"/>
          <wp:wrapSquare wrapText="bothSides" distB="114300" distT="114300" distL="114300" distR="114300"/>
          <wp:docPr id="27"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-346707</wp:posOffset>
          </wp:positionH>
          <wp:positionV relativeFrom="paragraph">
            <wp:posOffset>-178432</wp:posOffset>
          </wp:positionV>
          <wp:extent cx="752475" cy="633730"/>
          <wp:effectExtent b="0" l="0" r="0" t="0"/>
          <wp:wrapSquare wrapText="bothSides" distB="0" distT="0" distL="114300" distR="114300"/>
          <wp:docPr id="2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-97787</wp:posOffset>
          </wp:positionV>
          <wp:extent cx="1575435" cy="409575"/>
          <wp:effectExtent b="0" l="0" r="0" t="0"/>
          <wp:wrapSquare wrapText="bothSides" distB="0" distT="0" distL="114300" distR="114300"/>
          <wp:docPr id="23"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-134617</wp:posOffset>
          </wp:positionV>
          <wp:extent cx="1420495" cy="443230"/>
          <wp:effectExtent b="0" l="0" r="0" t="0"/>
          <wp:wrapNone/>
          <wp:docPr id="22"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1420495" cy="44323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
        <w:szCs w:val="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-323847</wp:posOffset>
          </wp:positionH>
          <wp:positionV relativeFrom="paragraph">
            <wp:posOffset>-190498</wp:posOffset>
          </wp:positionV>
          <wp:extent cx="737870" cy="622300"/>
          <wp:effectExtent b="0" l="0" r="0" t="0"/>
          <wp:wrapNone/>
          <wp:docPr id="2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7870" cy="622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2457450</wp:posOffset>
          </wp:positionH>
          <wp:positionV relativeFrom="paragraph">
            <wp:posOffset>-90486</wp:posOffset>
          </wp:positionV>
          <wp:extent cx="1421765" cy="442595"/>
          <wp:effectExtent b="0" l="0" r="0" t="0"/>
          <wp:wrapNone/>
          <wp:docPr id="21" name="image5.png"/>
          <a:graphic>
            <a:graphicData uri="http://schemas.openxmlformats.org/drawingml/2006/picture">
              <pic:pic>
                <pic:nvPicPr>
                  <pic:cNvPr id="0" name="image5.png"/>
                  <pic:cNvPicPr preferRelativeResize="0"/>
                </pic:nvPicPr>
                <pic:blipFill>
                  <a:blip r:embed="rId2"/>
                  <a:srcRect b="0" l="0" r="0" t="0"/>
                  <a:stretch>
                    <a:fillRect/>
                  </a:stretch>
                </pic:blipFill>
                <pic:spPr>
                  <a:xfrm>
                    <a:off x="0" y="0"/>
                    <a:ext cx="1421765" cy="4425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-80961</wp:posOffset>
          </wp:positionV>
          <wp:extent cx="1576705" cy="410210"/>
          <wp:effectExtent b="0" l="0" r="0" t="0"/>
          <wp:wrapNone/>
          <wp:docPr id="20"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576705" cy="410210"/>
                  </a:xfrm>
                  <a:prstGeom prst="rect"/>
                  <a:ln/>
                </pic:spPr>
              </pic:pic>
            </a:graphicData>
          </a:graphic>
        </wp:anchor>
      </w:drawing>
    </w:r>
  </w:p>
  <w:tbl>
    <w:tblPr>
      <w:tblStyle w:val="Table2"/>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89">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360" w:hanging="360"/>
      </w:pPr>
      <w:rPr>
        <w:vertAlign w:val="baseline"/>
      </w:rPr>
    </w:lvl>
    <w:lvl w:ilvl="1">
      <w:start w:val="7"/>
      <w:numFmt w:val="bullet"/>
      <w:lvlText w:val="•"/>
      <w:lvlJc w:val="left"/>
      <w:pPr>
        <w:ind w:left="1425" w:hanging="705"/>
      </w:pPr>
      <w:rPr>
        <w:rFonts w:ascii="Calibri" w:cs="Calibri" w:eastAsia="Calibri" w:hAnsi="Calibri"/>
        <w:vertAlign w:val="baseline"/>
      </w:rPr>
    </w:lvl>
    <w:lvl w:ilvl="2">
      <w:start w:val="1"/>
      <w:numFmt w:val="decimal"/>
      <w:lvlText w:val="%3."/>
      <w:lvlJc w:val="left"/>
      <w:pPr>
        <w:ind w:left="1980" w:hanging="36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1.png"/><Relationship Id="rId3" Type="http://schemas.openxmlformats.org/officeDocument/2006/relationships/image" Target="media/image2.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png"/><Relationship Id="rId3"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XY+LB0oRtp/ANluCS1VWFLtu5g==">AMUW2mVsGxa8izu68UNADwhiWfgjjnAuQ/JdVf5yusIikLbBFneC8Dli4iXmYaPRFOYA59dw3LASJVQWVUfM8n9vIa+Se6HZpoErire7DmXDteDJlaCW/X8=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