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62D" w:rsidRDefault="0088562D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GoBack"/>
      <w:bookmarkEnd w:id="0"/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88562D" w:rsidRDefault="00B85C8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88562D" w:rsidRDefault="00B85C8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2704434" cy="629800"/>
            <wp:effectExtent l="0" t="0" r="0" b="0"/>
            <wp:docPr id="3" name="image2.jpg" descr="C:\Users\d_cortes\Dropbox\00. Ficheros Maestros\03. Periodo 2014-2020\10. Metodología Comunicación\01. Logos\Logo TICCámar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C:\Users\d_cortes\Dropbox\00. Ficheros Maestros\03. Periodo 2014-2020\10. Metodología Comunicación\01. Logos\Logo TICCámaras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8562D" w:rsidRDefault="0088562D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  <w:sectPr w:rsidR="0088562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0" w:header="708" w:footer="708" w:gutter="0"/>
          <w:pgNumType w:start="1"/>
          <w:cols w:space="720"/>
        </w:sectPr>
      </w:pPr>
    </w:p>
    <w:p w:rsidR="0088562D" w:rsidRDefault="00B85C88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88562D" w:rsidRDefault="00B85C88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88562D" w:rsidRDefault="00B85C88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88562D" w:rsidRDefault="00B85C88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88562D" w:rsidRDefault="00B85C88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88562D" w:rsidRDefault="00B85C88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 w:hanging="1395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88562D" w:rsidRDefault="00B85C8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88562D" w:rsidRDefault="00B85C8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Funcionamiento de la Unión Europea  (</w:t>
      </w:r>
      <w:hyperlink r:id="rId15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6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88562D" w:rsidRDefault="00B85C8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no se encuentra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8562D" w:rsidRDefault="00B85C8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norma de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</w:t>
      </w:r>
      <w:r>
        <w:rPr>
          <w:rFonts w:ascii="Calibri" w:eastAsia="Calibri" w:hAnsi="Calibri" w:cs="Calibri"/>
          <w:color w:val="000000"/>
          <w:sz w:val="22"/>
          <w:szCs w:val="22"/>
        </w:rPr>
        <w:t>euros en el caso de las empresas que operen en el sector transporte por carretera, durante cualquier período de tres ejercicios fiscales, en concreto, declaro que:</w:t>
      </w:r>
    </w:p>
    <w:p w:rsidR="0088562D" w:rsidRDefault="0088562D"/>
    <w:p w:rsidR="0088562D" w:rsidRDefault="00B85C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88562D" w:rsidRDefault="00B85C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8562D">
        <w:trPr>
          <w:trHeight w:val="420"/>
        </w:trPr>
        <w:tc>
          <w:tcPr>
            <w:tcW w:w="1978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88562D">
        <w:tc>
          <w:tcPr>
            <w:tcW w:w="1978" w:type="dxa"/>
            <w:shd w:val="clear" w:color="auto" w:fill="auto"/>
            <w:vAlign w:val="center"/>
          </w:tcPr>
          <w:p w:rsidR="0088562D" w:rsidRDefault="0088562D"/>
        </w:tc>
        <w:tc>
          <w:tcPr>
            <w:tcW w:w="1131" w:type="dxa"/>
          </w:tcPr>
          <w:p w:rsidR="0088562D" w:rsidRDefault="0088562D">
            <w:pPr>
              <w:jc w:val="center"/>
            </w:pPr>
          </w:p>
        </w:tc>
        <w:tc>
          <w:tcPr>
            <w:tcW w:w="1848" w:type="dxa"/>
          </w:tcPr>
          <w:p w:rsidR="0088562D" w:rsidRDefault="0088562D"/>
        </w:tc>
        <w:tc>
          <w:tcPr>
            <w:tcW w:w="1449" w:type="dxa"/>
            <w:shd w:val="clear" w:color="auto" w:fill="auto"/>
            <w:vAlign w:val="center"/>
          </w:tcPr>
          <w:p w:rsidR="0088562D" w:rsidRDefault="0088562D"/>
        </w:tc>
        <w:tc>
          <w:tcPr>
            <w:tcW w:w="2241" w:type="dxa"/>
            <w:shd w:val="clear" w:color="auto" w:fill="auto"/>
            <w:vAlign w:val="center"/>
          </w:tcPr>
          <w:p w:rsidR="0088562D" w:rsidRDefault="0088562D"/>
        </w:tc>
      </w:tr>
      <w:tr w:rsidR="0088562D">
        <w:tc>
          <w:tcPr>
            <w:tcW w:w="1978" w:type="dxa"/>
            <w:shd w:val="clear" w:color="auto" w:fill="auto"/>
            <w:vAlign w:val="center"/>
          </w:tcPr>
          <w:p w:rsidR="0088562D" w:rsidRDefault="0088562D"/>
        </w:tc>
        <w:tc>
          <w:tcPr>
            <w:tcW w:w="1131" w:type="dxa"/>
          </w:tcPr>
          <w:p w:rsidR="0088562D" w:rsidRDefault="0088562D">
            <w:pPr>
              <w:jc w:val="center"/>
            </w:pPr>
          </w:p>
        </w:tc>
        <w:tc>
          <w:tcPr>
            <w:tcW w:w="1848" w:type="dxa"/>
          </w:tcPr>
          <w:p w:rsidR="0088562D" w:rsidRDefault="0088562D"/>
        </w:tc>
        <w:tc>
          <w:tcPr>
            <w:tcW w:w="1449" w:type="dxa"/>
            <w:shd w:val="clear" w:color="auto" w:fill="auto"/>
            <w:vAlign w:val="center"/>
          </w:tcPr>
          <w:p w:rsidR="0088562D" w:rsidRDefault="0088562D"/>
        </w:tc>
        <w:tc>
          <w:tcPr>
            <w:tcW w:w="2241" w:type="dxa"/>
            <w:shd w:val="clear" w:color="auto" w:fill="auto"/>
            <w:vAlign w:val="center"/>
          </w:tcPr>
          <w:p w:rsidR="0088562D" w:rsidRDefault="0088562D"/>
        </w:tc>
      </w:tr>
      <w:tr w:rsidR="0088562D">
        <w:tc>
          <w:tcPr>
            <w:tcW w:w="1978" w:type="dxa"/>
            <w:shd w:val="clear" w:color="auto" w:fill="auto"/>
            <w:vAlign w:val="center"/>
          </w:tcPr>
          <w:p w:rsidR="0088562D" w:rsidRDefault="0088562D"/>
        </w:tc>
        <w:tc>
          <w:tcPr>
            <w:tcW w:w="1131" w:type="dxa"/>
          </w:tcPr>
          <w:p w:rsidR="0088562D" w:rsidRDefault="0088562D"/>
        </w:tc>
        <w:tc>
          <w:tcPr>
            <w:tcW w:w="1848" w:type="dxa"/>
          </w:tcPr>
          <w:p w:rsidR="0088562D" w:rsidRDefault="0088562D"/>
        </w:tc>
        <w:tc>
          <w:tcPr>
            <w:tcW w:w="1449" w:type="dxa"/>
            <w:shd w:val="clear" w:color="auto" w:fill="auto"/>
            <w:vAlign w:val="center"/>
          </w:tcPr>
          <w:p w:rsidR="0088562D" w:rsidRDefault="0088562D"/>
        </w:tc>
        <w:tc>
          <w:tcPr>
            <w:tcW w:w="2241" w:type="dxa"/>
            <w:shd w:val="clear" w:color="auto" w:fill="auto"/>
            <w:vAlign w:val="center"/>
          </w:tcPr>
          <w:p w:rsidR="0088562D" w:rsidRDefault="0088562D"/>
        </w:tc>
      </w:tr>
    </w:tbl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PARA LA OPERACIÓN DE REFERENCIA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88562D" w:rsidRDefault="0088562D">
      <w:pPr>
        <w:rPr>
          <w:rFonts w:ascii="Calibri" w:eastAsia="Calibri" w:hAnsi="Calibri" w:cs="Calibri"/>
          <w:sz w:val="22"/>
          <w:szCs w:val="22"/>
        </w:rPr>
      </w:pPr>
    </w:p>
    <w:p w:rsidR="0088562D" w:rsidRDefault="00B85C88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</w:t>
      </w:r>
      <w:r>
        <w:rPr>
          <w:rFonts w:ascii="Calibri" w:eastAsia="Calibri" w:hAnsi="Calibri" w:cs="Calibri"/>
          <w:sz w:val="22"/>
          <w:szCs w:val="22"/>
        </w:rPr>
        <w:t>s públicos o privados</w:t>
      </w:r>
    </w:p>
    <w:p w:rsidR="0088562D" w:rsidRDefault="0088562D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88562D" w:rsidRDefault="00B85C88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8562D">
        <w:trPr>
          <w:trHeight w:val="800"/>
        </w:trPr>
        <w:tc>
          <w:tcPr>
            <w:tcW w:w="2209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8562D" w:rsidRDefault="00B85C8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88562D">
        <w:tc>
          <w:tcPr>
            <w:tcW w:w="2209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</w:tr>
      <w:tr w:rsidR="0088562D">
        <w:tc>
          <w:tcPr>
            <w:tcW w:w="2209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8562D" w:rsidRDefault="0088562D">
            <w:pPr>
              <w:rPr>
                <w:sz w:val="22"/>
                <w:szCs w:val="22"/>
              </w:rPr>
            </w:pPr>
          </w:p>
        </w:tc>
      </w:tr>
    </w:tbl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empresa son veraces y responden a la realidad de la empresa.</w:t>
      </w:r>
    </w:p>
    <w:p w:rsidR="0088562D" w:rsidRDefault="0088562D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 w:hanging="720"/>
        <w:rPr>
          <w:rFonts w:ascii="Calibri" w:eastAsia="Calibri" w:hAnsi="Calibri" w:cs="Calibri"/>
          <w:color w:val="000000"/>
          <w:sz w:val="22"/>
          <w:szCs w:val="22"/>
        </w:rPr>
      </w:pP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 w:hanging="1389"/>
        <w:rPr>
          <w:rFonts w:ascii="Calibri" w:eastAsia="Calibri" w:hAnsi="Calibri" w:cs="Calibri"/>
          <w:color w:val="000000"/>
          <w:sz w:val="22"/>
          <w:szCs w:val="22"/>
        </w:rPr>
      </w:pPr>
    </w:p>
    <w:p w:rsidR="0088562D" w:rsidRDefault="0088562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88562D">
      <w:type w:val="continuous"/>
      <w:pgSz w:w="11906" w:h="16838"/>
      <w:pgMar w:top="1417" w:right="1701" w:bottom="1417" w:left="17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C88" w:rsidRDefault="00B85C88">
      <w:pPr>
        <w:spacing w:line="240" w:lineRule="auto"/>
      </w:pPr>
      <w:r>
        <w:separator/>
      </w:r>
    </w:p>
  </w:endnote>
  <w:endnote w:type="continuationSeparator" w:id="0">
    <w:p w:rsidR="00B85C88" w:rsidRDefault="00B85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885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B85C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88562D" w:rsidRDefault="00B85C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V0119</w:t>
    </w:r>
  </w:p>
  <w:p w:rsidR="0088562D" w:rsidRDefault="00885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885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C88" w:rsidRDefault="00B85C88">
      <w:pPr>
        <w:spacing w:line="240" w:lineRule="auto"/>
      </w:pPr>
      <w:r>
        <w:separator/>
      </w:r>
    </w:p>
  </w:footnote>
  <w:footnote w:type="continuationSeparator" w:id="0">
    <w:p w:rsidR="00B85C88" w:rsidRDefault="00B85C88">
      <w:pPr>
        <w:spacing w:line="240" w:lineRule="auto"/>
      </w:pPr>
      <w:r>
        <w:continuationSeparator/>
      </w:r>
    </w:p>
  </w:footnote>
  <w:footnote w:id="1">
    <w:p w:rsidR="0088562D" w:rsidRDefault="00B85C88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885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B85C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b/>
        <w:color w:val="FF0000"/>
      </w:rPr>
    </w:pPr>
    <w:r>
      <w:rPr>
        <w:color w:val="000000"/>
      </w:rPr>
      <w:t xml:space="preserve"> 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795337</wp:posOffset>
          </wp:positionH>
          <wp:positionV relativeFrom="paragraph">
            <wp:posOffset>-195262</wp:posOffset>
          </wp:positionV>
          <wp:extent cx="1334691" cy="561975"/>
          <wp:effectExtent l="0" t="0" r="0" b="0"/>
          <wp:wrapSquare wrapText="bothSides" distT="114300" distB="114300" distL="114300" distR="114300"/>
          <wp:docPr id="6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4691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4219575</wp:posOffset>
          </wp:positionH>
          <wp:positionV relativeFrom="paragraph">
            <wp:posOffset>-233362</wp:posOffset>
          </wp:positionV>
          <wp:extent cx="1866900" cy="647700"/>
          <wp:effectExtent l="0" t="0" r="0" b="0"/>
          <wp:wrapSquare wrapText="bothSides" distT="114300" distB="114300" distL="114300" distR="114300"/>
          <wp:docPr id="4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2252663</wp:posOffset>
          </wp:positionH>
          <wp:positionV relativeFrom="paragraph">
            <wp:posOffset>-161924</wp:posOffset>
          </wp:positionV>
          <wp:extent cx="1581150" cy="497931"/>
          <wp:effectExtent l="0" t="0" r="0" b="0"/>
          <wp:wrapNone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l="0" t="0" r="0" b="0"/>
          <wp:wrapSquare wrapText="bothSides" distT="0" distB="0" distL="114300" distR="11430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62D" w:rsidRDefault="00885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33EF4"/>
    <w:multiLevelType w:val="multilevel"/>
    <w:tmpl w:val="9B40747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62D"/>
    <w:rsid w:val="00047827"/>
    <w:rsid w:val="0088562D"/>
    <w:rsid w:val="00B8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7A41A3-5693-4312-BAD2-A234FAFD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oe.es/doue/2014/187/L00001-00078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2019-06-26T14:55:00Z</dcterms:created>
  <dcterms:modified xsi:type="dcterms:W3CDTF">2019-06-26T14:55:00Z</dcterms:modified>
</cp:coreProperties>
</file>