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contextualSpacing w:val="0"/>
        <w:jc w:val="right"/>
        <w:rPr>
          <w:rFonts w:ascii="Calibri" w:cs="Calibri" w:eastAsia="Calibri" w:hAnsi="Calibri"/>
          <w:color w:val="cc0000"/>
          <w:sz w:val="32"/>
          <w:szCs w:val="32"/>
        </w:rPr>
      </w:pPr>
      <w:r w:rsidDel="00000000" w:rsidR="00000000" w:rsidRPr="00000000">
        <w:rPr>
          <w:rFonts w:ascii="Calibri" w:cs="Calibri" w:eastAsia="Calibri" w:hAnsi="Calibri"/>
          <w:color w:val="cc0000"/>
          <w:sz w:val="32"/>
          <w:szCs w:val="32"/>
          <w:rtl w:val="0"/>
        </w:rPr>
        <w:t xml:space="preserve">Anexo V</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404040"/>
          <w:sz w:val="44"/>
          <w:szCs w:val="44"/>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1"/>
          <w:i w:val="0"/>
          <w:smallCaps w:val="0"/>
          <w:strike w:val="0"/>
          <w:color w:val="404040"/>
          <w:sz w:val="44"/>
          <w:szCs w:val="44"/>
          <w:u w:val="none"/>
          <w:shd w:fill="auto" w:val="clear"/>
          <w:vertAlign w:val="baseline"/>
        </w:rPr>
        <w:drawing>
          <wp:inline distB="0" distT="0" distL="0" distR="0">
            <wp:extent cx="3343275" cy="1066800"/>
            <wp:effectExtent b="0" l="0" r="0" t="0"/>
            <wp:docPr descr="C:\Users\s_maldonado\AppData\Local\Microsoft\Windows\INetCache\Content.Outlook\JE4VL7L4\competitividad turística.jpg" id="2" name="image6.jpg"/>
            <a:graphic>
              <a:graphicData uri="http://schemas.openxmlformats.org/drawingml/2006/picture">
                <pic:pic>
                  <pic:nvPicPr>
                    <pic:cNvPr descr="C:\Users\s_maldonado\AppData\Local\Microsoft\Windows\INetCache\Content.Outlook\JE4VL7L4\competitividad turística.jpg" id="0" name="image6.jpg"/>
                    <pic:cNvPicPr preferRelativeResize="0"/>
                  </pic:nvPicPr>
                  <pic:blipFill>
                    <a:blip r:embed="rId6"/>
                    <a:srcRect b="0" l="0" r="0" t="0"/>
                    <a:stretch>
                      <a:fillRect/>
                    </a:stretch>
                  </pic:blipFill>
                  <pic:spPr>
                    <a:xfrm>
                      <a:off x="0" y="0"/>
                      <a:ext cx="334327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404040"/>
          <w:sz w:val="68"/>
          <w:szCs w:val="6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-1066799</wp:posOffset>
                </wp:positionH>
                <wp:positionV relativeFrom="paragraph">
                  <wp:posOffset>228600</wp:posOffset>
                </wp:positionV>
                <wp:extent cx="7550785" cy="2196465"/>
                <wp:effectExtent b="0" l="0" r="0" t="0"/>
                <wp:wrapSquare wrapText="bothSides" distB="0" distT="0" distL="0" distR="0"/>
                <wp:docPr id="1" name=""/>
                <a:graphic>
                  <a:graphicData uri="http://schemas.microsoft.com/office/word/2010/wordprocessingShape">
                    <wps:wsp>
                      <wps:cNvSpPr/>
                      <wps:cNvPr id="2" name="Shape 2"/>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-1066799</wp:posOffset>
                </wp:positionH>
                <wp:positionV relativeFrom="paragraph">
                  <wp:posOffset>228600</wp:posOffset>
                </wp:positionV>
                <wp:extent cx="7550785" cy="2196465"/>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550785" cy="219646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ffffff"/>
          <w:sz w:val="54"/>
          <w:szCs w:val="54"/>
          <w:u w:val="none"/>
          <w:shd w:fill="auto" w:val="clear"/>
          <w:vertAlign w:val="baseline"/>
        </w:rPr>
      </w:pPr>
      <w:r w:rsidDel="00000000" w:rsidR="00000000" w:rsidRPr="00000000">
        <w:rPr>
          <w:rFonts w:ascii="Calibri" w:cs="Calibri" w:eastAsia="Calibri" w:hAnsi="Calibri"/>
          <w:b w:val="0"/>
          <w:i w:val="0"/>
          <w:smallCaps w:val="0"/>
          <w:strike w:val="0"/>
          <w:color w:val="ffffff"/>
          <w:sz w:val="54"/>
          <w:szCs w:val="54"/>
          <w:u w:val="none"/>
          <w:shd w:fill="auto" w:val="clear"/>
          <w:vertAlign w:val="baseline"/>
          <w:rtl w:val="0"/>
        </w:rPr>
        <w:t xml:space="preserve">Condiciones de Participación y Tipología y Justificación de Gastos elegibles Fase de Ayudas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Programa de Competitividad Turística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Periodo 2014-2020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67" w:hanging="1134"/>
        <w:contextualSpacing w:val="0"/>
        <w:jc w:val="right"/>
        <w:rPr>
          <w:rFonts w:ascii="Arial Narrow" w:cs="Arial Narrow" w:eastAsia="Arial Narrow" w:hAnsi="Arial Narrow"/>
          <w:b w:val="0"/>
          <w:i w:val="0"/>
          <w:smallCaps w:val="0"/>
          <w:strike w:val="0"/>
          <w:color w:val="40404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34"/>
        <w:contextualSpacing w:val="0"/>
        <w:jc w:val="left"/>
        <w:rPr>
          <w:rFonts w:ascii="Arial Narrow" w:cs="Arial Narrow" w:eastAsia="Arial Narrow" w:hAnsi="Arial Narrow"/>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200" w:line="276" w:lineRule="auto"/>
        <w:contextualSpacing w:val="0"/>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sectPr>
          <w:headerReference r:id="rId8" w:type="default"/>
          <w:footerReference r:id="rId9" w:type="default"/>
          <w:pgSz w:h="16838" w:w="11906"/>
          <w:pgMar w:bottom="1417" w:top="1417" w:left="1701" w:right="1701"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0" w:before="480" w:line="276" w:lineRule="auto"/>
        <w:ind w:right="0"/>
        <w:contextualSpacing w:val="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1"/>
          <w:i w:val="1"/>
          <w:smallCaps w:val="0"/>
          <w:strike w:val="0"/>
          <w:color w:val="cc0000"/>
          <w:sz w:val="32"/>
          <w:szCs w:val="32"/>
          <w:u w:val="none"/>
          <w:shd w:fill="auto" w:val="clear"/>
          <w:vertAlign w:val="baseline"/>
          <w:rtl w:val="0"/>
        </w:rPr>
        <w:t xml:space="preserve">Contenido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100" w:before="10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Condiciones de Participación en el Programa</w:t>
              <w:tab/>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100" w:before="100" w:line="240" w:lineRule="auto"/>
            <w:ind w:left="284" w:right="0" w:hanging="284"/>
            <w:contextualSpacing w:val="0"/>
            <w:jc w:val="both"/>
            <w:rP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Requisitos Generales de los Servicios</w:t>
              <w:tab/>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100" w:before="10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Facturación</w:t>
              <w:tab/>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100" w:before="10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Justificación de Gastos</w:t>
              <w:tab/>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100" w:before="100" w:line="240" w:lineRule="auto"/>
            <w:ind w:left="284" w:right="0" w:hanging="284"/>
            <w:contextualSpacing w:val="0"/>
            <w:jc w:val="both"/>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Proyectos Tipo Susceptibles de ser Financiados en el Programa</w:t>
              <w:tab/>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numPr>
          <w:ilvl w:val="1"/>
          <w:numId w:val="1"/>
        </w:numPr>
        <w:ind w:left="0" w:firstLine="0"/>
        <w:contextualSpacing w:val="0"/>
        <w:rPr/>
      </w:pPr>
      <w:bookmarkStart w:colFirst="0" w:colLast="0" w:name="_30j0zll" w:id="1"/>
      <w:bookmarkEnd w:id="1"/>
      <w:r w:rsidDel="00000000" w:rsidR="00000000" w:rsidRPr="00000000">
        <w:rPr>
          <w:rtl w:val="0"/>
        </w:rPr>
        <w:t xml:space="preserve">Condiciones de Participación en el Programa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Además de todas aquellas reflejadas en las bases de la convocatoria de ayudas, la participación en el Programa de Competitividad Turística conlleva las siguientes condiciones de participación:</w:t>
      </w:r>
    </w:p>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pPr>
      <w:r w:rsidDel="00000000" w:rsidR="00000000" w:rsidRPr="00000000">
        <w:rPr>
          <w:rFonts w:ascii="Calibri" w:cs="Calibri" w:eastAsia="Calibri" w:hAnsi="Calibri"/>
          <w:b w:val="1"/>
          <w:i w:val="1"/>
          <w:smallCaps w:val="0"/>
          <w:strike w:val="0"/>
          <w:color w:val="cc0000"/>
          <w:sz w:val="24"/>
          <w:szCs w:val="24"/>
          <w:u w:val="none"/>
          <w:shd w:fill="auto" w:val="clear"/>
          <w:vertAlign w:val="baseline"/>
          <w:rtl w:val="0"/>
        </w:rPr>
        <w:t xml:space="preserve">Evaluación de Solicitudes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evaluación de solicitudes de participación y admisión de empresas al Programa de Competitividad Turística se realizará en el orden en el que hayan sido registradas en la Cámara.</w:t>
      </w:r>
    </w:p>
    <w:p w:rsidR="00000000" w:rsidDel="00000000" w:rsidP="00000000" w:rsidRDefault="00000000" w:rsidRPr="00000000" w14:paraId="0000002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pPr>
      <w:r w:rsidDel="00000000" w:rsidR="00000000" w:rsidRPr="00000000">
        <w:rPr>
          <w:rFonts w:ascii="Calibri" w:cs="Calibri" w:eastAsia="Calibri" w:hAnsi="Calibri"/>
          <w:b w:val="1"/>
          <w:i w:val="1"/>
          <w:smallCaps w:val="0"/>
          <w:strike w:val="0"/>
          <w:color w:val="cc0000"/>
          <w:sz w:val="24"/>
          <w:szCs w:val="24"/>
          <w:u w:val="none"/>
          <w:shd w:fill="auto" w:val="clear"/>
          <w:vertAlign w:val="baseline"/>
          <w:rtl w:val="0"/>
        </w:rPr>
        <w:t xml:space="preserve">Resolución de Solicitudes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resolución de las solicitudes será comunicada a los beneficiarios por escrito a través de la Cámara de Comercio.</w:t>
      </w:r>
    </w:p>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pPr>
      <w:r w:rsidDel="00000000" w:rsidR="00000000" w:rsidRPr="00000000">
        <w:rPr>
          <w:rFonts w:ascii="Calibri" w:cs="Calibri" w:eastAsia="Calibri" w:hAnsi="Calibri"/>
          <w:b w:val="1"/>
          <w:i w:val="1"/>
          <w:smallCaps w:val="0"/>
          <w:strike w:val="0"/>
          <w:color w:val="cc0000"/>
          <w:sz w:val="24"/>
          <w:szCs w:val="24"/>
          <w:u w:val="none"/>
          <w:shd w:fill="auto" w:val="clear"/>
          <w:vertAlign w:val="baseline"/>
          <w:rtl w:val="0"/>
        </w:rPr>
        <w:t xml:space="preserve">Admisión en las Distintas Fases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de solicitar participar en la Fase I + Fase II, la admisión en cualquiera de estas fases se realizará siempre que exista presupuesto disponible y se cumplan las condiciones de la convocatoria, pudiendo darse el caso de admisión únicamente en Fase I.</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concreto de la Fase II del Programa, podrán ser beneficiarias aquellas empresas que hayan justificado documentalmente su participación previa en la Fase I del Programa en la presente convocatoria o dentro del año anterior a la misma, y que no hayan sido beneficiarias de Fase II.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8"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También podrán optar a Fase II aquellas que acrediten haber participado en el último año en un Programa similar de Asesoramiento para la mejora de la competitividad de las pymes, de organismos de Promoción del Sector Turístico de las Comunidades Autónomas, de organismos públicos regionales o locales o de Cámaras de Comercio, siempre que cumplan los requisitos indicados en la convocatoria.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8" w:right="0" w:firstLine="0"/>
        <w:contextualSpacing w:val="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 este caso, se deberá adjuntar copia de la convocatoria, así como copia del informe de asesoramiento.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8" w:right="0" w:firstLine="0"/>
        <w:contextualSpacing w:val="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se estimase que el informe no cumple con los requisitos establecidos en la convocatoria para poder pasar directamente a Fase II, se valoraría la admisión de la empresa en Fase I + Fase II.</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pPr>
      <w:r w:rsidDel="00000000" w:rsidR="00000000" w:rsidRPr="00000000">
        <w:rPr>
          <w:rFonts w:ascii="Calibri" w:cs="Calibri" w:eastAsia="Calibri" w:hAnsi="Calibri"/>
          <w:b w:val="1"/>
          <w:i w:val="1"/>
          <w:smallCaps w:val="0"/>
          <w:strike w:val="0"/>
          <w:color w:val="cc0000"/>
          <w:sz w:val="24"/>
          <w:szCs w:val="24"/>
          <w:u w:val="none"/>
          <w:shd w:fill="auto" w:val="clear"/>
          <w:vertAlign w:val="baseline"/>
          <w:rtl w:val="0"/>
        </w:rPr>
        <w:t xml:space="preserve">Contenidos mínimos de Diagnósticos similares aceptados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empresas podrán acogerse a la fase II del Programa de Competitividad Turística si están participando en la fase I (de Diagnóstico Asistido) o si acreditan haber participado en el último año en un Programa similar de Asesoramiento para la mejora de la competitividad de las pymes, de organismos de Promoción del Sector Turístico de las Comunidades Autónomas o de Cámaras de Comercio, que cumpla con los siguientes requisitos: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Análisis del contexto de la empresa e identificación de áreas estratégicas para la mejora de la competitividad.</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Análisis del grado de innovación y aprovechamiento de las TIC que realiza actualmente la empresa, identificación de aspectos de mejora y recomendaciones asociadas.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Priorización de procesos en los que deben ser aplicada la innovación e incorporadas las TIC, en función de las necesidades y capacidad de absorción de la empresa de las posibles soluciones a incorporar (nivel de madurez digital o información suficiente para establecerlo).</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Propuesta de proyectos a abordar, con identificación de los beneficios para la empresa.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2"/>
        <w:numPr>
          <w:ilvl w:val="1"/>
          <w:numId w:val="1"/>
        </w:numPr>
        <w:ind w:left="0" w:firstLine="0"/>
        <w:contextualSpacing w:val="0"/>
        <w:rPr/>
      </w:pPr>
      <w:bookmarkStart w:colFirst="0" w:colLast="0" w:name="_1fob9te" w:id="2"/>
      <w:bookmarkEnd w:id="2"/>
      <w:r w:rsidDel="00000000" w:rsidR="00000000" w:rsidRPr="00000000">
        <w:rPr>
          <w:rtl w:val="0"/>
        </w:rPr>
        <w:t xml:space="preserve">Requisitos Generales de los Servicios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64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empresas podrán financiar con cargo al Programa gastos e inversiones asociados al desarrollo/ejecución de los proyectos de Implantación hasta un importe máximo de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7.000 euros, IVA no incluido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(aunque la empresa pueda abordar implantaciones de mayor cuantía), durante un periodo máximo de 6 meses desde la fecha de firma del Plan de Implantación-documento de participación en Fase II y siempre antes de la fecha de justificación indicada desde la Cámara de Comercio. Este periodo podrá ampliarse en casos excepcionales siempre que se autoricen desde la Unidad de Gestión del Programa.</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64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Programa no excluye que las empresas puedan desarrollar inversiones de mayor cuantía, si bien, únicamente se considerará el coste financiable máximo admitido (7.000 €, IVA no incluido).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644"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empresas beneficiarias, en la medida en que deben respetar en las contrataciones que realicen los principios de publicidad, concurrencia, transparencia, confidencialidad, igualdad y no discriminación, deberán solicitar como mínimo tres ofertas de diferentes proveedores cuando el importe de gasto subvencionable sea superior a 15.000 €, conforme establece la Ley General de Subvenciones. En este sentido, deberán (i) documentarse las solicitudes recibidas; (ii) conservas los presupuestos recibidos; (iii) justificarse convenientemente las elecciones realizadas.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64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Desde el Programa de Competitividad Turística se subvencionarán los gastos asociados a la prestación del servicio de implantación por parte de los proveedores seleccionados, según el Plan Personalizado de Implantación definido, así como otros gastos e inversiones que, en su caso, sean necesarios para su puesta en marcha y que se encuentren dentro de la relación de gastos elegibles del Programa, financiándose los costes de los servicios prestados por dichos proveedores de implantación (según las condiciones y alcances definidos).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64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Todos los gastos/inversiones deberán realizarse con posterioridad a la admisión en la Fase II del programa y deberán contar siempre con el visto bueno de la Cámara de Comercio, que supervisará el ajuste de los importes a precios de mercado.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4"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continuación, se relacionan las consideraciones generales a tener en cuenta por las empresas: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0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Dentro del Programa se contemplarán exclusivamente las acciones destinadas a la mejora de la competitividad de las empresas del sector turístico.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0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Sólo se considerarán los gastos facturados por terceros, quienes no podrán estar vinculados a la empresa beneficiaria de la ayuda.</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0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Están excluidos los costes internos de la empresa, así como cualquier otro producto y/o servicio realizado internamente por personal de la empresa, representantes legales, apoderados, etc….</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0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se subvencionará en ningún caso la prestación de servicios por parte de las instituciones involucradas en el Programa.</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04"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empresa ha de tener en cuenta que deberá estar al corriente en sus obligaciones tributarias y de Seguridad Social.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04"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4"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Cualquier otro tipo de actuación para la mejora de la competitividad no incluida de manera expresa en el presente documento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podría ser susceptible de ser elegible y por tanto de percibir ayuda, previa autorización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4"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numPr>
          <w:ilvl w:val="1"/>
          <w:numId w:val="1"/>
        </w:numPr>
        <w:ind w:left="0" w:firstLine="0"/>
        <w:contextualSpacing w:val="0"/>
        <w:rPr/>
      </w:pPr>
      <w:bookmarkStart w:colFirst="0" w:colLast="0" w:name="_3znysh7" w:id="3"/>
      <w:bookmarkEnd w:id="3"/>
      <w:r w:rsidDel="00000000" w:rsidR="00000000" w:rsidRPr="00000000">
        <w:rPr>
          <w:rtl w:val="0"/>
        </w:rPr>
        <w:t xml:space="preserve">Justificación de Gastos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Todas las inversiones deberán iniciarse con posterioridad a la presentación de la solicitud de participación en la Fase II y estar efectivamente realizadas y pagadas dentro del periodo de vigencia establecido.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todas las facturas relativas a gastos a cofinanciar por el Programa, será conveniente indicar que los servicios han sido prestados en el seno del Programa de Competitividad Turística.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la justificación de los gastos realizados, aparte de otra documentación que le pueda ser requerida, la empresa deberá presentar a la Cámara de Comercio:</w:t>
      </w:r>
    </w:p>
    <w:p w:rsidR="00000000" w:rsidDel="00000000" w:rsidP="00000000" w:rsidRDefault="00000000" w:rsidRPr="00000000" w14:paraId="0000004C">
      <w:pPr>
        <w:numPr>
          <w:ilvl w:val="0"/>
          <w:numId w:val="4"/>
        </w:numPr>
        <w:spacing w:after="120" w:before="120" w:line="240" w:lineRule="auto"/>
        <w:ind w:left="360" w:hanging="360"/>
        <w:contextualSpacing w:val="0"/>
        <w:jc w:val="both"/>
        <w:rPr>
          <w:b w:val="1"/>
          <w:sz w:val="20"/>
          <w:szCs w:val="20"/>
        </w:rPr>
      </w:pPr>
      <w:r w:rsidDel="00000000" w:rsidR="00000000" w:rsidRPr="00000000">
        <w:rPr>
          <w:b w:val="1"/>
          <w:sz w:val="20"/>
          <w:szCs w:val="20"/>
          <w:rtl w:val="0"/>
        </w:rPr>
        <w:t xml:space="preserve">Facturas del Proveedor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que una factura se considere cumplimentada debe contener:</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68"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Fecha de la factura.</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68"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Número de la factura.</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68"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Razón social y NIF del emisor y de la entidad beneficiaria.</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68"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Descripción del gasto incurrido en la factura.</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68"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Importe unitario por artículo.</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68" w:right="0" w:hanging="360"/>
        <w:contextualSpacing w:val="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Detalle del IVA o del IRPF en su caso, etc.</w:t>
      </w:r>
    </w:p>
    <w:p w:rsidR="00000000" w:rsidDel="00000000" w:rsidP="00000000" w:rsidRDefault="00000000" w:rsidRPr="00000000" w14:paraId="00000054">
      <w:pPr>
        <w:numPr>
          <w:ilvl w:val="0"/>
          <w:numId w:val="4"/>
        </w:numPr>
        <w:spacing w:after="120" w:before="120" w:line="240" w:lineRule="auto"/>
        <w:ind w:left="360" w:hanging="360"/>
        <w:contextualSpacing w:val="0"/>
        <w:jc w:val="both"/>
        <w:rPr>
          <w:b w:val="1"/>
          <w:sz w:val="20"/>
          <w:szCs w:val="20"/>
        </w:rPr>
      </w:pPr>
      <w:r w:rsidDel="00000000" w:rsidR="00000000" w:rsidRPr="00000000">
        <w:rPr>
          <w:b w:val="1"/>
          <w:sz w:val="20"/>
          <w:szCs w:val="20"/>
          <w:rtl w:val="0"/>
        </w:rPr>
        <w:t xml:space="preserve">Documentos de pago efectivo de las facturas del Proveedor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justificación de los pagos realizados se realizará mediante documento bancario,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no siendo admitidos los pagos realizados en efectivo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Formas de pago aceptadas: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Pagos realizados mediante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transferencia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copia de la orden de transferencia, así como de extracto bancario donde se pueda comprobar claramente el descuento de la orden de transferencia aportada. No son elegibles las comisiones bancarias por este concepto.</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Pagos realizados mediante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cheque bancario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copia del cheque bancario y copia del extracto bancario donde se pueda verificar el correspondiente cargo en la cuenta bancaria de la entidad beneficiaria.</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Pagos realizados mediante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pagaré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Pagos realizados mediante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tarjeta de titularidad de la entidad beneficiaria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copia tanto del recibo mensual de la tarjeta como del extracto bancario donde se pueda verificar el descuento de dicho extracto.</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Pagos realizados mediante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confirming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contrato del cliente (beneficiario) con la entidad financiera, pago del cliente (beneficiario) a la entidad financiera, pago de la entidad financiera al proveedor.</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Pagos realizados mediante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factoring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contrato entre proveedor (acreedor) y la empresa de factoring, justificante de ingreso en la cuenta del acreedor, del importe acordado en el contrato anterior, notificación de cesión de la deuda al deudor (empresa beneficiaria), justificante de pago del beneficiario a la entidad financiera del importe de la cesión.</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Pagos en efectivo: no se admitirán pagos en efectivo ni los no justificados mediante los documentos señalados en los apartados anteriores.</w:t>
      </w:r>
    </w:p>
    <w:p w:rsidR="00000000" w:rsidDel="00000000" w:rsidP="00000000" w:rsidRDefault="00000000" w:rsidRPr="00000000" w14:paraId="0000005E">
      <w:pPr>
        <w:numPr>
          <w:ilvl w:val="0"/>
          <w:numId w:val="4"/>
        </w:numPr>
        <w:spacing w:after="120" w:before="120" w:line="240" w:lineRule="auto"/>
        <w:ind w:left="360" w:hanging="360"/>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Extracto bancario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Extractos bancarios acreditativos de los pagos donde figure el cargo en cuenta de los mismos.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copia de los extractos bancarios acreditativos de los pagos son requisito imprescindible, si bien aquellas empresas que utilicen banca electrónica podrán presentar en sustitución la documentación que en este sentido dispongan.</w:t>
      </w:r>
    </w:p>
    <w:p w:rsidR="00000000" w:rsidDel="00000000" w:rsidP="00000000" w:rsidRDefault="00000000" w:rsidRPr="00000000" w14:paraId="00000061">
      <w:pPr>
        <w:numPr>
          <w:ilvl w:val="0"/>
          <w:numId w:val="4"/>
        </w:numPr>
        <w:spacing w:after="120" w:before="120" w:line="240" w:lineRule="auto"/>
        <w:ind w:left="360" w:hanging="360"/>
        <w:contextualSpacing w:val="0"/>
        <w:jc w:val="both"/>
        <w:rPr>
          <w:b w:val="1"/>
          <w:sz w:val="20"/>
          <w:szCs w:val="20"/>
        </w:rPr>
      </w:pPr>
      <w:r w:rsidDel="00000000" w:rsidR="00000000" w:rsidRPr="00000000">
        <w:rPr>
          <w:b w:val="1"/>
          <w:sz w:val="20"/>
          <w:szCs w:val="20"/>
          <w:rtl w:val="0"/>
        </w:rPr>
        <w:t xml:space="preserve">Evidencia del gasto</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Capturas de pantalla, fotografías, informes y demás elementos que proporcionen una evidencia válida del gasto realizado. La Cámara de Comercio informará, para cada proyecto implantado, cuáles son las evidencias que es necesario presentar.</w:t>
      </w:r>
    </w:p>
    <w:p w:rsidR="00000000" w:rsidDel="00000000" w:rsidP="00000000" w:rsidRDefault="00000000" w:rsidRPr="00000000" w14:paraId="00000063">
      <w:pPr>
        <w:spacing w:after="120" w:before="120"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Impuestos indirectos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Todos los impuestos indirectos (IVA, IGIC e impuestos de naturaleza similar) que tengan la condición legal de recuperables, no se considerarán subvencionables, con independencia de que no se recuperen “de facto”.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contribuciones en especie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serán en ningún caso, subvencionables.</w:t>
      </w:r>
    </w:p>
    <w:p w:rsidR="00000000" w:rsidDel="00000000" w:rsidP="00000000" w:rsidRDefault="00000000" w:rsidRPr="00000000" w14:paraId="00000066">
      <w:pPr>
        <w:pStyle w:val="Heading2"/>
        <w:numPr>
          <w:ilvl w:val="1"/>
          <w:numId w:val="1"/>
        </w:numPr>
        <w:ind w:left="0" w:firstLine="0"/>
        <w:contextualSpacing w:val="0"/>
        <w:rPr/>
      </w:pPr>
      <w:bookmarkStart w:colFirst="0" w:colLast="0" w:name="_2et92p0" w:id="4"/>
      <w:bookmarkEnd w:id="4"/>
      <w:r w:rsidDel="00000000" w:rsidR="00000000" w:rsidRPr="00000000">
        <w:rPr>
          <w:rtl w:val="0"/>
        </w:rPr>
        <w:t xml:space="preserve">Proyectos Tipo Susceptibles de ser Financiados en el Programa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8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continuación, se presenta el listado de proyectos tipo subvencionables en el programa de Competitividad Turística.  La empresa puede estar interesada, en función de su estrategia y objetivos de negocio, en implantar algún tipo de proyecto no contemplado en el catálogo de proyectos tipo existente. Estos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proyectos fuera de catálogo serán elegibles y por tanto percibirán ayuda, previa autorización de la Unidad de Gestión del Programa de la Cámara de España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evaluará la contribución del proyecto a la mejora de la competitividad de la empresa beneficiaria.</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6"/>
        <w:gridCol w:w="4348"/>
        <w:tblGridChange w:id="0">
          <w:tblGrid>
            <w:gridCol w:w="4146"/>
            <w:gridCol w:w="4348"/>
          </w:tblGrid>
        </w:tblGridChange>
      </w:tblGrid>
      <w:tr>
        <w:trPr>
          <w:trHeight w:val="600"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Soluciones de contabilidad</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  Promoción online mediante sistemas de pago </w:t>
            </w:r>
          </w:p>
        </w:tc>
      </w:tr>
      <w:tr>
        <w:trPr>
          <w:trHeight w:val="600" w:hRule="atLeast"/>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CRM (gestión de clientes)</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  Soluciones de e-mail marketing</w:t>
            </w:r>
          </w:p>
        </w:tc>
      </w:tr>
      <w:tr>
        <w:trPr>
          <w:trHeight w:val="600" w:hRule="atLeast"/>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Soluciones de gestión empresarial (ERP)</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Reputación Online. Sistemas de monitorización y gestión</w:t>
            </w:r>
          </w:p>
        </w:tc>
      </w:tr>
      <w:tr>
        <w:trPr>
          <w:trHeight w:val="600" w:hRule="atLeast"/>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Soluciones de Gestión hotelera</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Catálogos digitales</w:t>
            </w:r>
          </w:p>
        </w:tc>
      </w:tr>
      <w:tr>
        <w:trPr>
          <w:trHeight w:val="600" w:hRule="atLeast"/>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Incorporación en centrales de reserva</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  Servicios a través de dispositivos táctiles</w:t>
            </w:r>
          </w:p>
        </w:tc>
      </w:tr>
      <w:tr>
        <w:trPr>
          <w:trHeight w:val="600" w:hRule="atLeast"/>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Channel Manager</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  Desarrollo de apps móviles</w:t>
            </w:r>
          </w:p>
        </w:tc>
      </w:tr>
      <w:tr>
        <w:trPr>
          <w:trHeight w:val="600" w:hRule="atLeast"/>
        </w:trP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Revenue Management</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  Wifi tracking</w:t>
            </w:r>
          </w:p>
        </w:tc>
      </w:tr>
      <w:tr>
        <w:trPr>
          <w:trHeight w:val="600" w:hRule="atLeast"/>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TPV para hostelería</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  Mobile marketing</w:t>
            </w:r>
          </w:p>
        </w:tc>
      </w:tr>
      <w:tr>
        <w:trPr>
          <w:trHeight w:val="600" w:hRule="atLeast"/>
        </w:trP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Menú Engineering</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27.  Soluciones IoT para control de punto de venta y marketing asociado</w:t>
            </w:r>
          </w:p>
        </w:tc>
      </w:tr>
      <w:tr>
        <w:trPr>
          <w:trHeight w:val="600" w:hRule="atLeast"/>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Sistemas de vigilancia e inteligencia competitiva</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  Soluciones de comercio electrónico</w:t>
            </w:r>
          </w:p>
        </w:tc>
      </w:tr>
      <w:tr>
        <w:trPr>
          <w:trHeight w:val="800" w:hRule="atLeast"/>
        </w:trP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Business Analytics</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  Diseño y desarrollo de un nuevo producto/servicio</w:t>
            </w:r>
          </w:p>
        </w:tc>
      </w:tr>
      <w:tr>
        <w:trPr>
          <w:trHeight w:val="600" w:hRule="atLeast"/>
        </w:trP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Comunicaciones. Red wifi para clientes</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  Estudio sobre mejoras en producto/servicio</w:t>
            </w:r>
          </w:p>
        </w:tc>
      </w:tr>
      <w:tr>
        <w:trPr>
          <w:trHeight w:val="600" w:hRule="atLeast"/>
        </w:trP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Sistemas de fidelización</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Estudio/benchmarking sobre comportamiento del consumidor y detección de necesidades de los mercados sobre producto/servicio</w:t>
            </w:r>
          </w:p>
        </w:tc>
      </w:tr>
      <w:tr>
        <w:trPr>
          <w:trHeight w:val="600" w:hRule="atLeast"/>
        </w:trP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  Señalética digital </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  Estudio/benchmarking sobre comportamiento del consumidor y detección de necesidades de los mercados sobre comercialización</w:t>
            </w:r>
          </w:p>
        </w:tc>
      </w:tr>
      <w:tr>
        <w:trPr>
          <w:trHeight w:val="600" w:hRule="atLeast"/>
        </w:trP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  Material digital promocional. </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  Planes estratégicos para comercialización</w:t>
            </w:r>
          </w:p>
        </w:tc>
      </w:tr>
      <w:tr>
        <w:trPr>
          <w:trHeight w:val="600" w:hRule="atLeast"/>
        </w:trP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Presencia web, a través de página propia</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  Planificación estratégica</w:t>
            </w:r>
          </w:p>
        </w:tc>
      </w:tr>
      <w:tr>
        <w:trPr>
          <w:trHeight w:val="600" w:hRule="atLeast"/>
        </w:trP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  Analítica web</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  Consultoría en organización y RRHH </w:t>
            </w:r>
          </w:p>
        </w:tc>
      </w:tr>
      <w:tr>
        <w:trPr>
          <w:trHeight w:val="600" w:hRule="atLeast"/>
        </w:trP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  Dinamización en redes sociales </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0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40" w:before="240" w:line="360" w:lineRule="auto"/>
        <w:ind w:left="0" w:right="-82"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rebuchet MS"/>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color="cc0000" w:space="1" w:sz="4" w:val="single"/>
      </w:pBdr>
      <w:contextualSpacing w:val="0"/>
      <w:rPr>
        <w:b w:val="1"/>
        <w:i w:val="1"/>
        <w:sz w:val="20"/>
        <w:szCs w:val="20"/>
      </w:rPr>
    </w:pPr>
    <w:r w:rsidDel="00000000" w:rsidR="00000000" w:rsidRPr="00000000">
      <w:rPr>
        <w:b w:val="1"/>
        <w:sz w:val="20"/>
        <w:szCs w:val="20"/>
        <w:rtl w:val="0"/>
      </w:rPr>
      <w:t xml:space="preserve">Fondo Europeo de Desarrollo Regional</w:t>
    </w:r>
    <w:r w:rsidDel="00000000" w:rsidR="00000000" w:rsidRPr="00000000">
      <w:rPr>
        <w:b w:val="1"/>
        <w:rtl w:val="0"/>
      </w:rPr>
      <w:tab/>
    </w:r>
    <w:r w:rsidDel="00000000" w:rsidR="00000000" w:rsidRPr="00000000">
      <w:rPr>
        <w:b w:val="1"/>
        <w:i w:val="1"/>
        <w:rtl w:val="0"/>
      </w:rPr>
      <w:tab/>
      <w:tab/>
      <w:tab/>
    </w:r>
    <w:r w:rsidDel="00000000" w:rsidR="00000000" w:rsidRPr="00000000">
      <w:rPr>
        <w:b w:val="1"/>
        <w:sz w:val="20"/>
        <w:szCs w:val="20"/>
        <w:rtl w:val="0"/>
      </w:rPr>
      <w:t xml:space="preserve">Una manera de hacer Europa</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7050"/>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72.0" w:type="dxa"/>
      <w:jc w:val="left"/>
      <w:tblInd w:w="108.0" w:type="dxa"/>
      <w:tblLayout w:type="fixed"/>
      <w:tblLook w:val="0000"/>
    </w:tblPr>
    <w:tblGrid>
      <w:gridCol w:w="2879"/>
      <w:gridCol w:w="2983"/>
      <w:gridCol w:w="3210"/>
      <w:tblGridChange w:id="0">
        <w:tblGrid>
          <w:gridCol w:w="2879"/>
          <w:gridCol w:w="2983"/>
          <w:gridCol w:w="3210"/>
        </w:tblGrid>
      </w:tblGridChange>
    </w:tblGrid>
    <w:tr>
      <w:trPr>
        <w:trHeight w:val="700" w:hRule="atLeast"/>
      </w:trP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7560"/>
            </w:tabs>
            <w:spacing w:after="0" w:before="0" w:line="240" w:lineRule="auto"/>
            <w:ind w:left="74" w:right="794" w:firstLine="0"/>
            <w:contextualSpacing w:val="0"/>
            <w:jc w:val="left"/>
            <w:rPr>
              <w:rFonts w:ascii="Helvetica Neue" w:cs="Helvetica Neue" w:eastAsia="Helvetica Neue" w:hAnsi="Helvetica Neue"/>
              <w:b w:val="1"/>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-68579</wp:posOffset>
                </wp:positionH>
                <wp:positionV relativeFrom="paragraph">
                  <wp:posOffset>0</wp:posOffset>
                </wp:positionV>
                <wp:extent cx="847725" cy="714375"/>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847725" cy="714375"/>
                        </a:xfrm>
                        <a:prstGeom prst="rect"/>
                        <a:ln/>
                      </pic:spPr>
                    </pic:pic>
                  </a:graphicData>
                </a:graphic>
              </wp:anchor>
            </w:drawing>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7560"/>
            </w:tabs>
            <w:spacing w:after="0" w:before="0" w:line="240" w:lineRule="auto"/>
            <w:ind w:left="-108" w:right="-187" w:firstLine="0"/>
            <w:contextualSpacing w:val="0"/>
            <w:jc w:val="righ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7560"/>
            </w:tabs>
            <w:spacing w:after="0" w:before="0" w:line="240" w:lineRule="auto"/>
            <w:ind w:left="-108" w:right="-187" w:firstLine="0"/>
            <w:contextualSpacing w:val="0"/>
            <w:jc w:val="center"/>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7560"/>
            </w:tabs>
            <w:spacing w:after="0" w:before="0" w:line="240" w:lineRule="auto"/>
            <w:ind w:left="261" w:right="-108" w:firstLine="0"/>
            <w:contextualSpacing w:val="0"/>
            <w:jc w:val="right"/>
            <w:rPr>
              <w:rFonts w:ascii="Arial" w:cs="Arial" w:eastAsia="Arial" w:hAnsi="Arial"/>
              <w:b w:val="1"/>
              <w:i w:val="1"/>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441960</wp:posOffset>
                </wp:positionH>
                <wp:positionV relativeFrom="paragraph">
                  <wp:posOffset>131445</wp:posOffset>
                </wp:positionV>
                <wp:extent cx="1238250" cy="381000"/>
                <wp:effectExtent b="0" l="0" r="0" t="0"/>
                <wp:wrapSquare wrapText="bothSides" distB="0" distT="0" distL="114300" distR="114300"/>
                <wp:docPr descr="Logo Camara de España" id="4" name="image8.jpg"/>
                <a:graphic>
                  <a:graphicData uri="http://schemas.openxmlformats.org/drawingml/2006/picture">
                    <pic:pic>
                      <pic:nvPicPr>
                        <pic:cNvPr descr="Logo Camara de España" id="0" name="image8.jpg"/>
                        <pic:cNvPicPr preferRelativeResize="0"/>
                      </pic:nvPicPr>
                      <pic:blipFill>
                        <a:blip r:embed="rId2"/>
                        <a:srcRect b="0" l="0" r="0" t="0"/>
                        <a:stretch>
                          <a:fillRect/>
                        </a:stretch>
                      </pic:blipFill>
                      <pic:spPr>
                        <a:xfrm>
                          <a:off x="0" y="0"/>
                          <a:ext cx="1238250" cy="381000"/>
                        </a:xfrm>
                        <a:prstGeom prst="rect"/>
                        <a:ln/>
                      </pic:spPr>
                    </pic:pic>
                  </a:graphicData>
                </a:graphic>
              </wp:anchor>
            </w:drawing>
          </w:r>
        </w:p>
      </w:tc>
    </w:tr>
    <w:tr>
      <w:trPr>
        <w:trHeight w:val="360" w:hRule="atLeast"/>
      </w:trPr>
      <w:tc>
        <w:tcPr>
          <w:gridSpan w:val="3"/>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7560"/>
              <w:tab w:val="right" w:pos="8712"/>
            </w:tabs>
            <w:spacing w:after="0" w:before="0" w:line="240" w:lineRule="auto"/>
            <w:ind w:left="432" w:right="432" w:firstLine="0"/>
            <w:contextualSpacing w:val="0"/>
            <w:jc w:val="center"/>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o"/>
      <w:lvlJc w:val="left"/>
      <w:pPr>
        <w:ind w:left="425" w:hanging="360"/>
      </w:pPr>
      <w:rPr>
        <w:rFonts w:ascii="Courier New" w:cs="Courier New" w:eastAsia="Courier New" w:hAnsi="Courier New"/>
      </w:rPr>
    </w:lvl>
    <w:lvl w:ilvl="2">
      <w:start w:val="1"/>
      <w:numFmt w:val="bullet"/>
      <w:lvlText w:val="o"/>
      <w:lvlJc w:val="left"/>
      <w:pPr>
        <w:ind w:left="1800" w:hanging="180"/>
      </w:pPr>
      <w:rPr>
        <w:rFonts w:ascii="Courier New" w:cs="Courier New" w:eastAsia="Courier New" w:hAnsi="Courier New"/>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decimal"/>
      <w:lvlText w:val="%2)"/>
      <w:lvlJc w:val="left"/>
      <w:pPr>
        <w:ind w:left="2145" w:hanging="705"/>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c00000" w:space="1" w:sz="18" w:val="single"/>
        <w:left w:color="c00000" w:space="4" w:sz="18" w:val="single"/>
        <w:bottom w:color="c00000" w:space="1" w:sz="18" w:val="single"/>
        <w:right w:color="c00000" w:space="4" w:sz="18" w:val="single"/>
      </w:pBdr>
      <w:shd w:fill="c00000" w:val="clear"/>
      <w:spacing w:after="300" w:before="300" w:line="240" w:lineRule="auto"/>
      <w:ind w:left="0" w:firstLine="0"/>
      <w:contextualSpacing w:val="0"/>
      <w:jc w:val="both"/>
    </w:pPr>
    <w:rPr>
      <w:rFonts w:ascii="Calibri" w:cs="Calibri" w:eastAsia="Calibri" w:hAnsi="Calibri"/>
      <w:b w:val="1"/>
      <w:color w:val="ffffff"/>
      <w:sz w:val="32"/>
      <w:szCs w:val="32"/>
    </w:rPr>
  </w:style>
  <w:style w:type="paragraph" w:styleId="Heading2">
    <w:name w:val="heading 2"/>
    <w:basedOn w:val="Normal"/>
    <w:next w:val="Normal"/>
    <w:pPr>
      <w:keepNext w:val="1"/>
      <w:keepLines w:val="1"/>
      <w:pBdr>
        <w:bottom w:color="cc0000" w:space="1" w:sz="18" w:val="single"/>
      </w:pBdr>
      <w:spacing w:after="300" w:before="300" w:line="240" w:lineRule="auto"/>
      <w:ind w:left="0" w:firstLine="0"/>
      <w:contextualSpacing w:val="0"/>
      <w:jc w:val="both"/>
    </w:pPr>
    <w:rPr>
      <w:rFonts w:ascii="Calibri" w:cs="Calibri" w:eastAsia="Calibri" w:hAnsi="Calibri"/>
      <w:b w:val="1"/>
      <w:color w:val="cc0000"/>
      <w:sz w:val="28"/>
      <w:szCs w:val="28"/>
    </w:rPr>
  </w:style>
  <w:style w:type="paragraph" w:styleId="Heading3">
    <w:name w:val="heading 3"/>
    <w:basedOn w:val="Normal"/>
    <w:next w:val="Normal"/>
    <w:pPr>
      <w:keepNext w:val="1"/>
      <w:spacing w:after="200" w:before="200" w:line="240" w:lineRule="auto"/>
      <w:ind w:left="0" w:firstLine="0"/>
      <w:contextualSpacing w:val="0"/>
      <w:jc w:val="both"/>
    </w:pPr>
    <w:rPr>
      <w:rFonts w:ascii="Calibri" w:cs="Calibri" w:eastAsia="Calibri" w:hAnsi="Calibri"/>
      <w:b w:val="1"/>
      <w:i w:val="1"/>
      <w:color w:val="cc0000"/>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0" w:before="160" w:line="240" w:lineRule="auto"/>
      <w:ind w:left="1008" w:hanging="1008"/>
      <w:contextualSpacing w:val="1"/>
      <w:jc w:val="both"/>
    </w:pPr>
    <w:rPr>
      <w:rFonts w:ascii="Trebuchet MS" w:cs="Trebuchet MS" w:eastAsia="Trebuchet MS" w:hAnsi="Trebuchet MS"/>
      <w:color w:val="666666"/>
    </w:rPr>
  </w:style>
  <w:style w:type="paragraph" w:styleId="Heading6">
    <w:name w:val="heading 6"/>
    <w:basedOn w:val="Normal"/>
    <w:next w:val="Normal"/>
    <w:pPr>
      <w:keepNext w:val="1"/>
      <w:keepLines w:val="1"/>
      <w:spacing w:after="0" w:before="160" w:line="240" w:lineRule="auto"/>
      <w:ind w:left="1152" w:hanging="1152"/>
      <w:contextualSpacing w:val="1"/>
      <w:jc w:val="both"/>
    </w:pPr>
    <w:rPr>
      <w:rFonts w:ascii="Trebuchet MS" w:cs="Trebuchet MS" w:eastAsia="Trebuchet MS" w:hAnsi="Trebuchet MS"/>
      <w:i w:val="1"/>
      <w:color w:val="66666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