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55B7" w:rsidRDefault="009355B7" w:rsidP="009A34A1">
      <w:pPr>
        <w:spacing w:before="120"/>
        <w:rPr>
          <w:rFonts w:cs="Arial"/>
        </w:rPr>
      </w:pPr>
    </w:p>
    <w:p w:rsidR="00D97C35" w:rsidRPr="00841D3E" w:rsidRDefault="00D97C35" w:rsidP="00D97C35">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b/>
          <w:sz w:val="24"/>
          <w:szCs w:val="24"/>
        </w:rPr>
      </w:pPr>
      <w:r w:rsidRPr="00841D3E">
        <w:rPr>
          <w:b/>
          <w:sz w:val="24"/>
          <w:szCs w:val="24"/>
        </w:rPr>
        <w:t xml:space="preserve">ANEXO </w:t>
      </w:r>
      <w:r>
        <w:rPr>
          <w:b/>
          <w:sz w:val="24"/>
          <w:szCs w:val="24"/>
        </w:rPr>
        <w:t>V</w:t>
      </w:r>
      <w:r w:rsidRPr="00841D3E">
        <w:rPr>
          <w:b/>
          <w:sz w:val="24"/>
          <w:szCs w:val="24"/>
        </w:rPr>
        <w:t xml:space="preserve"> de la Convocatoria</w:t>
      </w:r>
    </w:p>
    <w:p w:rsidR="00D97C35" w:rsidRDefault="00D97C35" w:rsidP="00D97C35">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b/>
          <w:sz w:val="24"/>
          <w:szCs w:val="24"/>
        </w:rPr>
      </w:pPr>
      <w:r>
        <w:rPr>
          <w:b/>
          <w:sz w:val="24"/>
          <w:szCs w:val="24"/>
          <w:lang w:val="es-ES_tradnl"/>
        </w:rPr>
        <w:t>Contenidos mínimos de Diagnósticos similares aceptados</w:t>
      </w:r>
    </w:p>
    <w:p w:rsidR="00F04B92" w:rsidRDefault="00F04B92" w:rsidP="009A34A1">
      <w:pPr>
        <w:spacing w:before="120"/>
        <w:rPr>
          <w:rFonts w:asciiTheme="minorHAnsi" w:hAnsiTheme="minorHAnsi" w:cs="Arial"/>
          <w:bCs w:val="0"/>
          <w:sz w:val="22"/>
          <w:szCs w:val="22"/>
        </w:rPr>
      </w:pPr>
      <w:r w:rsidRPr="002D7905">
        <w:rPr>
          <w:rFonts w:asciiTheme="minorHAnsi" w:hAnsiTheme="minorHAnsi" w:cs="Arial"/>
          <w:bCs w:val="0"/>
          <w:sz w:val="22"/>
          <w:szCs w:val="22"/>
        </w:rPr>
        <w:t>Las empresas podrán acogerse a la fase II</w:t>
      </w:r>
      <w:r>
        <w:rPr>
          <w:rFonts w:asciiTheme="minorHAnsi" w:hAnsiTheme="minorHAnsi" w:cs="Arial"/>
          <w:bCs w:val="0"/>
          <w:sz w:val="22"/>
          <w:szCs w:val="22"/>
        </w:rPr>
        <w:t xml:space="preserve"> del Programa TICCámaras</w:t>
      </w:r>
      <w:r w:rsidRPr="002D7905">
        <w:rPr>
          <w:rFonts w:asciiTheme="minorHAnsi" w:hAnsiTheme="minorHAnsi" w:cs="Arial"/>
          <w:bCs w:val="0"/>
          <w:sz w:val="22"/>
          <w:szCs w:val="22"/>
        </w:rPr>
        <w:t xml:space="preserve"> si están participando en la fase I (de Diagnóstico Asistido </w:t>
      </w:r>
      <w:r w:rsidRPr="00F04B92">
        <w:rPr>
          <w:rFonts w:asciiTheme="minorHAnsi" w:hAnsiTheme="minorHAnsi" w:cs="Arial"/>
          <w:bCs w:val="0"/>
          <w:sz w:val="22"/>
          <w:szCs w:val="22"/>
        </w:rPr>
        <w:t xml:space="preserve">de TIC) </w:t>
      </w:r>
      <w:r w:rsidRPr="007853B2">
        <w:rPr>
          <w:rFonts w:asciiTheme="minorHAnsi" w:hAnsiTheme="minorHAnsi" w:cs="Arial"/>
          <w:bCs w:val="0"/>
          <w:sz w:val="22"/>
          <w:szCs w:val="22"/>
        </w:rPr>
        <w:t xml:space="preserve">o si acreditan haber participado en el último año en un Programa similar de Asesoramiento en la incorporación de las TIC en las pymes, de organismos de Promoción de las TIC de las Comunidades Autónomas o de Cámaras de Comercio, </w:t>
      </w:r>
      <w:r>
        <w:rPr>
          <w:rFonts w:asciiTheme="minorHAnsi" w:hAnsiTheme="minorHAnsi" w:cs="Arial"/>
          <w:bCs w:val="0"/>
          <w:sz w:val="22"/>
          <w:szCs w:val="22"/>
        </w:rPr>
        <w:t>que cumpla con los siguientes requisitos:</w:t>
      </w:r>
    </w:p>
    <w:p w:rsidR="00F04B92" w:rsidRPr="00F04B92" w:rsidRDefault="00F04B92" w:rsidP="00512E3D">
      <w:pPr>
        <w:numPr>
          <w:ilvl w:val="0"/>
          <w:numId w:val="10"/>
        </w:numPr>
        <w:spacing w:before="120" w:after="120" w:line="240" w:lineRule="auto"/>
        <w:rPr>
          <w:rFonts w:asciiTheme="minorHAnsi" w:hAnsiTheme="minorHAnsi"/>
          <w:sz w:val="22"/>
          <w:szCs w:val="22"/>
        </w:rPr>
      </w:pPr>
      <w:r w:rsidRPr="00F04B92">
        <w:rPr>
          <w:rFonts w:asciiTheme="minorHAnsi" w:hAnsiTheme="minorHAnsi"/>
          <w:sz w:val="22"/>
          <w:szCs w:val="22"/>
        </w:rPr>
        <w:t>Análisis del contexto de la empresa e identificación de áreas estratégicas donde las TIC pueden convertirse en oportunidades de mejora de la competitividad.</w:t>
      </w:r>
    </w:p>
    <w:p w:rsidR="00F04B92" w:rsidRPr="00F04B92" w:rsidRDefault="00F04B92" w:rsidP="00512E3D">
      <w:pPr>
        <w:numPr>
          <w:ilvl w:val="0"/>
          <w:numId w:val="10"/>
        </w:numPr>
        <w:spacing w:before="120" w:after="120" w:line="240" w:lineRule="auto"/>
        <w:rPr>
          <w:rFonts w:asciiTheme="minorHAnsi" w:hAnsiTheme="minorHAnsi"/>
          <w:sz w:val="22"/>
          <w:szCs w:val="22"/>
        </w:rPr>
      </w:pPr>
      <w:r w:rsidRPr="00F04B92">
        <w:rPr>
          <w:rFonts w:asciiTheme="minorHAnsi" w:hAnsiTheme="minorHAnsi"/>
          <w:sz w:val="22"/>
          <w:szCs w:val="22"/>
        </w:rPr>
        <w:t>Análisis del grado de aprovechamiento de las TIC que realiza actualmente la empresa, identificación de aspectos de mejora y recomendaciones asociadas.</w:t>
      </w:r>
    </w:p>
    <w:p w:rsidR="00F04B92" w:rsidRPr="00F04B92" w:rsidRDefault="00F04B92" w:rsidP="00030ABB">
      <w:pPr>
        <w:numPr>
          <w:ilvl w:val="0"/>
          <w:numId w:val="10"/>
        </w:numPr>
        <w:spacing w:before="120" w:after="120" w:line="240" w:lineRule="auto"/>
        <w:rPr>
          <w:rFonts w:asciiTheme="minorHAnsi" w:hAnsiTheme="minorHAnsi"/>
          <w:sz w:val="22"/>
          <w:szCs w:val="22"/>
        </w:rPr>
      </w:pPr>
      <w:r w:rsidRPr="00F04B92">
        <w:rPr>
          <w:rFonts w:asciiTheme="minorHAnsi" w:hAnsiTheme="minorHAnsi"/>
          <w:sz w:val="22"/>
          <w:szCs w:val="22"/>
        </w:rPr>
        <w:t>Priorización de procesos en los que deben ser incorporadas las TIC, en función de las necesidades y capacidad de absorción de la empresa de las posibles soluciones a incorporar (</w:t>
      </w:r>
      <w:r w:rsidR="00030ABB" w:rsidRPr="00030ABB">
        <w:rPr>
          <w:rFonts w:asciiTheme="minorHAnsi" w:hAnsiTheme="minorHAnsi"/>
          <w:sz w:val="22"/>
          <w:szCs w:val="22"/>
        </w:rPr>
        <w:t>nivel de madurez digital o información suficiente para establecerlo</w:t>
      </w:r>
      <w:r w:rsidRPr="00F04B92">
        <w:rPr>
          <w:rFonts w:asciiTheme="minorHAnsi" w:hAnsiTheme="minorHAnsi"/>
          <w:sz w:val="22"/>
          <w:szCs w:val="22"/>
        </w:rPr>
        <w:t>).</w:t>
      </w:r>
    </w:p>
    <w:p w:rsidR="00F04B92" w:rsidRPr="00F04B92" w:rsidRDefault="00F04B92" w:rsidP="00512E3D">
      <w:pPr>
        <w:numPr>
          <w:ilvl w:val="0"/>
          <w:numId w:val="10"/>
        </w:numPr>
        <w:spacing w:before="120" w:after="120" w:line="240" w:lineRule="auto"/>
        <w:rPr>
          <w:rFonts w:asciiTheme="minorHAnsi" w:hAnsiTheme="minorHAnsi"/>
          <w:sz w:val="22"/>
          <w:szCs w:val="22"/>
        </w:rPr>
      </w:pPr>
      <w:r w:rsidRPr="00F04B92">
        <w:rPr>
          <w:rFonts w:asciiTheme="minorHAnsi" w:hAnsiTheme="minorHAnsi"/>
          <w:sz w:val="22"/>
          <w:szCs w:val="22"/>
        </w:rPr>
        <w:t>Propuesta de proyectos a abordar, con identificación de los beneficios para la empresa.</w:t>
      </w:r>
    </w:p>
    <w:p w:rsidR="00F04B92" w:rsidRDefault="00F04B92" w:rsidP="009A34A1">
      <w:pPr>
        <w:spacing w:before="120"/>
        <w:rPr>
          <w:rFonts w:asciiTheme="minorHAnsi" w:hAnsiTheme="minorHAnsi" w:cs="Arial"/>
          <w:bCs w:val="0"/>
          <w:sz w:val="22"/>
          <w:szCs w:val="22"/>
        </w:rPr>
      </w:pPr>
    </w:p>
    <w:p w:rsidR="00F04B92" w:rsidRDefault="00F04B92" w:rsidP="009A34A1">
      <w:pPr>
        <w:spacing w:before="120"/>
        <w:rPr>
          <w:rFonts w:asciiTheme="minorHAnsi" w:hAnsiTheme="minorHAnsi" w:cs="Arial"/>
          <w:bCs w:val="0"/>
          <w:sz w:val="22"/>
          <w:szCs w:val="22"/>
        </w:rPr>
      </w:pPr>
      <w:r>
        <w:rPr>
          <w:rFonts w:asciiTheme="minorHAnsi" w:hAnsiTheme="minorHAnsi" w:cs="Arial"/>
          <w:bCs w:val="0"/>
          <w:sz w:val="22"/>
          <w:szCs w:val="22"/>
        </w:rPr>
        <w:t>Además, los diagnósticos deberán cubrir las siguientes áreas:</w:t>
      </w:r>
    </w:p>
    <w:p w:rsidR="00F04B92" w:rsidRPr="00F04B92" w:rsidRDefault="00F04B92" w:rsidP="00512E3D">
      <w:pPr>
        <w:pStyle w:val="Prrafodelista"/>
        <w:numPr>
          <w:ilvl w:val="0"/>
          <w:numId w:val="9"/>
        </w:numPr>
        <w:spacing w:before="120"/>
        <w:rPr>
          <w:rFonts w:cs="Arial"/>
        </w:rPr>
      </w:pPr>
      <w:r w:rsidRPr="00F04B92">
        <w:rPr>
          <w:rFonts w:cs="Arial"/>
        </w:rPr>
        <w:t>Uso general de las TIC</w:t>
      </w:r>
    </w:p>
    <w:p w:rsidR="00F04B92" w:rsidRPr="00F04B92" w:rsidRDefault="00F04B92" w:rsidP="00512E3D">
      <w:pPr>
        <w:pStyle w:val="Prrafodelista"/>
        <w:numPr>
          <w:ilvl w:val="0"/>
          <w:numId w:val="9"/>
        </w:numPr>
        <w:spacing w:before="120"/>
        <w:rPr>
          <w:rFonts w:cs="Arial"/>
        </w:rPr>
      </w:pPr>
      <w:r w:rsidRPr="00F04B92">
        <w:rPr>
          <w:rFonts w:cs="Arial"/>
        </w:rPr>
        <w:t>Gestión de procesos internos</w:t>
      </w:r>
    </w:p>
    <w:p w:rsidR="00F04B92" w:rsidRPr="00F04B92" w:rsidRDefault="00F04B92" w:rsidP="00512E3D">
      <w:pPr>
        <w:pStyle w:val="Prrafodelista"/>
        <w:numPr>
          <w:ilvl w:val="0"/>
          <w:numId w:val="9"/>
        </w:numPr>
        <w:spacing w:before="120"/>
        <w:rPr>
          <w:rFonts w:cs="Arial"/>
        </w:rPr>
      </w:pPr>
      <w:r w:rsidRPr="00F04B92">
        <w:rPr>
          <w:rFonts w:cs="Arial"/>
        </w:rPr>
        <w:t>Marketing y posicionamiento de marca</w:t>
      </w:r>
    </w:p>
    <w:p w:rsidR="00D97C35" w:rsidRDefault="00F04B92" w:rsidP="00512E3D">
      <w:pPr>
        <w:pStyle w:val="Prrafodelista"/>
        <w:numPr>
          <w:ilvl w:val="0"/>
          <w:numId w:val="9"/>
        </w:numPr>
        <w:spacing w:before="120"/>
        <w:rPr>
          <w:rFonts w:cs="Arial"/>
        </w:rPr>
      </w:pPr>
      <w:r w:rsidRPr="00F04B92">
        <w:rPr>
          <w:rFonts w:cs="Arial"/>
        </w:rPr>
        <w:t>Comercio electrónico</w:t>
      </w:r>
    </w:p>
    <w:p w:rsidR="00677E07" w:rsidRDefault="00677E07" w:rsidP="00677E07">
      <w:pPr>
        <w:spacing w:before="120"/>
        <w:ind w:left="420"/>
        <w:rPr>
          <w:rFonts w:cs="Arial"/>
        </w:rPr>
      </w:pPr>
      <w:r>
        <w:rPr>
          <w:rFonts w:cs="Arial"/>
        </w:rPr>
        <w:t>Las empresas procedentes de otros diagnósticos deberán aportar:</w:t>
      </w:r>
    </w:p>
    <w:p w:rsidR="00677E07" w:rsidRPr="00677E07" w:rsidRDefault="00677E07" w:rsidP="00677E07">
      <w:pPr>
        <w:pStyle w:val="Prrafodelista"/>
        <w:numPr>
          <w:ilvl w:val="0"/>
          <w:numId w:val="9"/>
        </w:numPr>
        <w:spacing w:before="120"/>
        <w:rPr>
          <w:rFonts w:cs="Arial"/>
        </w:rPr>
      </w:pPr>
      <w:r w:rsidRPr="00677E07">
        <w:rPr>
          <w:rFonts w:cs="Arial"/>
        </w:rPr>
        <w:t>Convocatoria del programa de asesoramiento en la incorporación de la innovación en las PYME convocado por algún organismo público (CC.AA., Cámaras, organismos regionales o locales)</w:t>
      </w:r>
    </w:p>
    <w:p w:rsidR="00677E07" w:rsidRPr="00677E07" w:rsidRDefault="00677E07" w:rsidP="00677E07">
      <w:pPr>
        <w:pStyle w:val="Prrafodelista"/>
        <w:numPr>
          <w:ilvl w:val="0"/>
          <w:numId w:val="9"/>
        </w:numPr>
        <w:spacing w:before="120"/>
        <w:rPr>
          <w:rFonts w:cs="Arial"/>
        </w:rPr>
      </w:pPr>
      <w:r w:rsidRPr="00677E07">
        <w:rPr>
          <w:rFonts w:cs="Arial"/>
        </w:rPr>
        <w:t>Informe de Diagnóstico obtenido tras la participación en la misma</w:t>
      </w:r>
    </w:p>
    <w:p w:rsidR="00677E07" w:rsidRPr="00677E07" w:rsidRDefault="00677E07" w:rsidP="00677E07">
      <w:pPr>
        <w:spacing w:before="120"/>
        <w:ind w:left="420"/>
        <w:rPr>
          <w:rFonts w:cs="Arial"/>
        </w:rPr>
      </w:pPr>
    </w:p>
    <w:p w:rsidR="006004E5" w:rsidRDefault="006004E5" w:rsidP="006004E5">
      <w:pPr>
        <w:spacing w:before="120"/>
        <w:rPr>
          <w:rFonts w:cs="Arial"/>
        </w:rPr>
      </w:pPr>
    </w:p>
    <w:p w:rsidR="008C2DC9" w:rsidRDefault="008C2DC9" w:rsidP="006004E5">
      <w:pPr>
        <w:spacing w:before="120"/>
        <w:rPr>
          <w:rFonts w:cs="Arial"/>
        </w:rPr>
      </w:pPr>
    </w:p>
    <w:p w:rsidR="006004E5" w:rsidRPr="006004E5" w:rsidRDefault="006004E5" w:rsidP="008F5070">
      <w:pPr>
        <w:spacing w:beforeAutospacing="1" w:afterAutospacing="1"/>
        <w:rPr>
          <w:rFonts w:cs="Arial"/>
        </w:rPr>
      </w:pPr>
    </w:p>
    <w:sectPr w:rsidR="006004E5" w:rsidRPr="006004E5" w:rsidSect="003C1018">
      <w:headerReference w:type="default" r:id="rId8"/>
      <w:footerReference w:type="even" r:id="rId9"/>
      <w:footerReference w:type="default" r:id="rId10"/>
      <w:pgSz w:w="11907" w:h="16840" w:code="9"/>
      <w:pgMar w:top="1920" w:right="926" w:bottom="1418" w:left="1260" w:header="720"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2D64" w:rsidRDefault="00632D64">
      <w:r>
        <w:separator/>
      </w:r>
    </w:p>
  </w:endnote>
  <w:endnote w:type="continuationSeparator" w:id="1">
    <w:p w:rsidR="00632D64" w:rsidRDefault="00632D6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
    <w:altName w:val="Helvetica"/>
    <w:panose1 w:val="020B0604020202030204"/>
    <w:charset w:val="00"/>
    <w:family w:val="swiss"/>
    <w:notTrueType/>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3A0" w:rsidRDefault="003A35C5">
    <w:pPr>
      <w:pStyle w:val="Piedepgina"/>
      <w:framePr w:wrap="around" w:vAnchor="text" w:hAnchor="margin" w:xAlign="right" w:y="1"/>
      <w:rPr>
        <w:rStyle w:val="Nmerodepgina"/>
      </w:rPr>
    </w:pPr>
    <w:r>
      <w:rPr>
        <w:rStyle w:val="Nmerodepgina"/>
      </w:rPr>
      <w:fldChar w:fldCharType="begin"/>
    </w:r>
    <w:r w:rsidR="002243A0">
      <w:rPr>
        <w:rStyle w:val="Nmerodepgina"/>
      </w:rPr>
      <w:instrText xml:space="preserve">PAGE  </w:instrText>
    </w:r>
    <w:r>
      <w:rPr>
        <w:rStyle w:val="Nmerodepgina"/>
      </w:rPr>
      <w:fldChar w:fldCharType="end"/>
    </w:r>
  </w:p>
  <w:p w:rsidR="002243A0" w:rsidRDefault="002243A0">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55B7" w:rsidRDefault="009355B7" w:rsidP="009355B7">
    <w:pPr>
      <w:pBdr>
        <w:top w:val="single" w:sz="4" w:space="1" w:color="auto"/>
      </w:pBdr>
      <w:rPr>
        <w:rFonts w:ascii="Calibri" w:hAnsi="Calibri"/>
        <w:b/>
        <w:sz w:val="22"/>
        <w:szCs w:val="22"/>
      </w:rPr>
    </w:pPr>
    <w:r w:rsidRPr="00320A80">
      <w:rPr>
        <w:rFonts w:ascii="Calibri" w:hAnsi="Calibri"/>
        <w:b/>
        <w:sz w:val="22"/>
        <w:szCs w:val="22"/>
      </w:rPr>
      <w:t>Fondo Europeo de Desarrollo Regional</w:t>
    </w:r>
    <w:r w:rsidRPr="00320A80">
      <w:rPr>
        <w:rFonts w:ascii="Calibri" w:hAnsi="Calibri"/>
        <w:b/>
        <w:sz w:val="22"/>
        <w:szCs w:val="22"/>
      </w:rPr>
      <w:tab/>
    </w:r>
    <w:r w:rsidRPr="00320A80">
      <w:rPr>
        <w:rFonts w:ascii="Calibri" w:hAnsi="Calibri"/>
        <w:b/>
        <w:i/>
        <w:sz w:val="22"/>
        <w:szCs w:val="22"/>
      </w:rPr>
      <w:tab/>
    </w:r>
    <w:r w:rsidRPr="00320A80">
      <w:rPr>
        <w:rFonts w:ascii="Calibri" w:hAnsi="Calibri"/>
        <w:b/>
        <w:i/>
        <w:sz w:val="22"/>
        <w:szCs w:val="22"/>
      </w:rPr>
      <w:tab/>
    </w:r>
    <w:r w:rsidRPr="00320A80">
      <w:rPr>
        <w:rFonts w:ascii="Calibri" w:hAnsi="Calibri"/>
        <w:b/>
        <w:i/>
        <w:sz w:val="22"/>
        <w:szCs w:val="22"/>
      </w:rPr>
      <w:tab/>
    </w:r>
    <w:r w:rsidRPr="00320A80">
      <w:rPr>
        <w:rFonts w:ascii="Calibri" w:hAnsi="Calibri"/>
        <w:b/>
        <w:sz w:val="22"/>
        <w:szCs w:val="22"/>
      </w:rPr>
      <w:t>Una manera de hacer Europa</w:t>
    </w:r>
  </w:p>
  <w:p w:rsidR="009355B7" w:rsidRDefault="009355B7">
    <w:pPr>
      <w:pStyle w:val="Piedepgina"/>
    </w:pPr>
  </w:p>
  <w:p w:rsidR="002243A0" w:rsidRDefault="002243A0" w:rsidP="008B5A32">
    <w:pPr>
      <w:pStyle w:val="Piedepgina"/>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2D64" w:rsidRDefault="00632D64">
      <w:r>
        <w:separator/>
      </w:r>
    </w:p>
  </w:footnote>
  <w:footnote w:type="continuationSeparator" w:id="1">
    <w:p w:rsidR="00632D64" w:rsidRDefault="00632D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806" w:type="dxa"/>
      <w:jc w:val="center"/>
      <w:tblLayout w:type="fixed"/>
      <w:tblLook w:val="01E0"/>
    </w:tblPr>
    <w:tblGrid>
      <w:gridCol w:w="2940"/>
      <w:gridCol w:w="2983"/>
      <w:gridCol w:w="2883"/>
    </w:tblGrid>
    <w:tr w:rsidR="002243A0" w:rsidTr="002243A0">
      <w:trPr>
        <w:trHeight w:val="713"/>
        <w:jc w:val="center"/>
      </w:trPr>
      <w:tc>
        <w:tcPr>
          <w:tcW w:w="2940" w:type="dxa"/>
          <w:hideMark/>
        </w:tcPr>
        <w:p w:rsidR="002243A0" w:rsidRDefault="002243A0" w:rsidP="002243A0">
          <w:pPr>
            <w:pStyle w:val="Encabezado"/>
            <w:tabs>
              <w:tab w:val="right" w:pos="7560"/>
            </w:tabs>
            <w:spacing w:line="276" w:lineRule="auto"/>
            <w:ind w:left="-90" w:right="794"/>
            <w:rPr>
              <w:rFonts w:ascii="Helv" w:hAnsi="Helv"/>
              <w:b/>
              <w:noProof/>
              <w:snapToGrid w:val="0"/>
              <w:color w:val="000000"/>
              <w:sz w:val="2"/>
              <w:szCs w:val="2"/>
            </w:rPr>
          </w:pPr>
          <w:r>
            <w:rPr>
              <w:rFonts w:ascii="Helv" w:hAnsi="Helv"/>
              <w:b/>
              <w:noProof/>
              <w:color w:val="000000"/>
              <w:sz w:val="2"/>
              <w:szCs w:val="2"/>
              <w:lang w:eastAsia="es-ES"/>
            </w:rPr>
            <w:drawing>
              <wp:inline distT="0" distB="0" distL="0" distR="0">
                <wp:extent cx="733425" cy="622300"/>
                <wp:effectExtent l="19050" t="0" r="9525" b="0"/>
                <wp:docPr id="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srcRect/>
                        <a:stretch>
                          <a:fillRect/>
                        </a:stretch>
                      </pic:blipFill>
                      <pic:spPr bwMode="auto">
                        <a:xfrm>
                          <a:off x="0" y="0"/>
                          <a:ext cx="733425" cy="622300"/>
                        </a:xfrm>
                        <a:prstGeom prst="rect">
                          <a:avLst/>
                        </a:prstGeom>
                        <a:noFill/>
                        <a:ln w="9525">
                          <a:noFill/>
                          <a:miter lim="800000"/>
                          <a:headEnd/>
                          <a:tailEnd/>
                        </a:ln>
                      </pic:spPr>
                    </pic:pic>
                  </a:graphicData>
                </a:graphic>
              </wp:inline>
            </w:drawing>
          </w:r>
        </w:p>
      </w:tc>
      <w:tc>
        <w:tcPr>
          <w:tcW w:w="2983" w:type="dxa"/>
          <w:hideMark/>
        </w:tcPr>
        <w:p w:rsidR="002243A0" w:rsidRDefault="002243A0" w:rsidP="002243A0">
          <w:pPr>
            <w:pStyle w:val="Encabezado"/>
            <w:tabs>
              <w:tab w:val="right" w:pos="7560"/>
            </w:tabs>
            <w:spacing w:line="276" w:lineRule="auto"/>
            <w:ind w:left="-108" w:right="-187"/>
            <w:rPr>
              <w:rFonts w:ascii="Arial" w:hAnsi="Arial" w:cs="Arial"/>
              <w:b/>
              <w:i/>
              <w:noProof/>
              <w:snapToGrid w:val="0"/>
              <w:color w:val="000000"/>
              <w:sz w:val="16"/>
              <w:szCs w:val="16"/>
            </w:rPr>
          </w:pPr>
          <w:r>
            <w:rPr>
              <w:rFonts w:ascii="Calibri" w:hAnsi="Calibri"/>
              <w:b/>
              <w:i/>
              <w:noProof/>
              <w:sz w:val="24"/>
              <w:szCs w:val="24"/>
              <w:lang w:eastAsia="es-ES"/>
            </w:rPr>
            <w:drawing>
              <wp:inline distT="0" distB="0" distL="0" distR="0">
                <wp:extent cx="1390650" cy="428625"/>
                <wp:effectExtent l="1905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srcRect/>
                        <a:stretch>
                          <a:fillRect/>
                        </a:stretch>
                      </pic:blipFill>
                      <pic:spPr bwMode="auto">
                        <a:xfrm>
                          <a:off x="0" y="0"/>
                          <a:ext cx="1390650" cy="428625"/>
                        </a:xfrm>
                        <a:prstGeom prst="rect">
                          <a:avLst/>
                        </a:prstGeom>
                        <a:noFill/>
                        <a:ln w="9525">
                          <a:noFill/>
                          <a:miter lim="800000"/>
                          <a:headEnd/>
                          <a:tailEnd/>
                        </a:ln>
                      </pic:spPr>
                    </pic:pic>
                  </a:graphicData>
                </a:graphic>
              </wp:inline>
            </w:drawing>
          </w:r>
        </w:p>
      </w:tc>
      <w:tc>
        <w:tcPr>
          <w:tcW w:w="2883" w:type="dxa"/>
          <w:hideMark/>
        </w:tcPr>
        <w:p w:rsidR="002243A0" w:rsidRDefault="002243A0" w:rsidP="002243A0">
          <w:pPr>
            <w:pStyle w:val="Encabezado"/>
            <w:tabs>
              <w:tab w:val="right" w:pos="7560"/>
            </w:tabs>
            <w:spacing w:line="276" w:lineRule="auto"/>
            <w:ind w:left="261" w:right="-108"/>
            <w:rPr>
              <w:rFonts w:ascii="Arial" w:hAnsi="Arial" w:cs="Arial"/>
              <w:b/>
              <w:i/>
              <w:noProof/>
              <w:snapToGrid w:val="0"/>
              <w:color w:val="000000"/>
              <w:sz w:val="2"/>
              <w:szCs w:val="2"/>
            </w:rPr>
          </w:pPr>
          <w:r>
            <w:rPr>
              <w:b/>
              <w:i/>
              <w:noProof/>
              <w:color w:val="FF0000"/>
              <w:sz w:val="18"/>
              <w:szCs w:val="18"/>
              <w:lang w:eastAsia="es-ES"/>
            </w:rPr>
            <w:drawing>
              <wp:inline distT="0" distB="0" distL="0" distR="0">
                <wp:extent cx="1428750" cy="447675"/>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
                        <a:srcRect/>
                        <a:stretch>
                          <a:fillRect/>
                        </a:stretch>
                      </pic:blipFill>
                      <pic:spPr bwMode="auto">
                        <a:xfrm>
                          <a:off x="0" y="0"/>
                          <a:ext cx="1428750" cy="447675"/>
                        </a:xfrm>
                        <a:prstGeom prst="rect">
                          <a:avLst/>
                        </a:prstGeom>
                        <a:noFill/>
                        <a:ln w="9525">
                          <a:noFill/>
                          <a:miter lim="800000"/>
                          <a:headEnd/>
                          <a:tailEnd/>
                        </a:ln>
                      </pic:spPr>
                    </pic:pic>
                  </a:graphicData>
                </a:graphic>
              </wp:inline>
            </w:drawing>
          </w:r>
        </w:p>
      </w:tc>
    </w:tr>
  </w:tbl>
  <w:p w:rsidR="002243A0" w:rsidRDefault="002243A0" w:rsidP="00C12799">
    <w:pPr>
      <w:pStyle w:val="Encabezado"/>
    </w:pPr>
  </w:p>
  <w:p w:rsidR="002243A0" w:rsidRDefault="002243A0" w:rsidP="00C1279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nsid w:val="0B6B2982"/>
    <w:multiLevelType w:val="hybridMultilevel"/>
    <w:tmpl w:val="38B272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3">
    <w:nsid w:val="17E3246C"/>
    <w:multiLevelType w:val="hybridMultilevel"/>
    <w:tmpl w:val="FE5CC4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E31050A"/>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nsid w:val="41F5182A"/>
    <w:multiLevelType w:val="multilevel"/>
    <w:tmpl w:val="7FE854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43770044"/>
    <w:multiLevelType w:val="hybridMultilevel"/>
    <w:tmpl w:val="C8F2730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2">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3">
    <w:nsid w:val="476F2960"/>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DE22665"/>
    <w:multiLevelType w:val="multilevel"/>
    <w:tmpl w:val="D7F679A6"/>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745391C"/>
    <w:multiLevelType w:val="hybridMultilevel"/>
    <w:tmpl w:val="50EAB5B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1">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753C400F"/>
    <w:multiLevelType w:val="hybridMultilevel"/>
    <w:tmpl w:val="A43AC2C0"/>
    <w:lvl w:ilvl="0" w:tplc="CF64CC56">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abstractNumId w:val="9"/>
  </w:num>
  <w:num w:numId="2">
    <w:abstractNumId w:val="14"/>
  </w:num>
  <w:num w:numId="3">
    <w:abstractNumId w:val="2"/>
  </w:num>
  <w:num w:numId="4">
    <w:abstractNumId w:val="6"/>
  </w:num>
  <w:num w:numId="5">
    <w:abstractNumId w:val="22"/>
  </w:num>
  <w:num w:numId="6">
    <w:abstractNumId w:val="8"/>
  </w:num>
  <w:num w:numId="7">
    <w:abstractNumId w:val="3"/>
  </w:num>
  <w:num w:numId="8">
    <w:abstractNumId w:val="17"/>
  </w:num>
  <w:num w:numId="9">
    <w:abstractNumId w:val="11"/>
  </w:num>
  <w:num w:numId="10">
    <w:abstractNumId w:val="1"/>
  </w:num>
  <w:num w:numId="11">
    <w:abstractNumId w:val="1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20"/>
  </w:num>
  <w:num w:numId="19">
    <w:abstractNumId w:val="13"/>
  </w:num>
  <w:num w:numId="20">
    <w:abstractNumId w:val="15"/>
  </w:num>
  <w:num w:numId="21">
    <w:abstractNumId w:val="19"/>
  </w:num>
  <w:num w:numId="22">
    <w:abstractNumId w:val="7"/>
  </w:num>
  <w:num w:numId="23">
    <w:abstractNumId w:val="18"/>
  </w:num>
  <w:num w:numId="24">
    <w:abstractNumId w:val="16"/>
  </w:num>
  <w:num w:numId="25">
    <w:abstractNumId w:val="21"/>
  </w:num>
  <w:num w:numId="26">
    <w:abstractNumId w:val="5"/>
  </w:num>
  <w:num w:numId="27">
    <w:abstractNumId w:val="4"/>
  </w:num>
  <w:num w:numId="28">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defaultTabStop w:val="708"/>
  <w:hyphenationZone w:val="425"/>
  <w:noPunctuationKerning/>
  <w:characterSpacingControl w:val="doNotCompress"/>
  <w:hdrShapeDefaults>
    <o:shapedefaults v:ext="edit" spidmax="20482"/>
  </w:hdrShapeDefaults>
  <w:footnotePr>
    <w:footnote w:id="0"/>
    <w:footnote w:id="1"/>
  </w:footnotePr>
  <w:endnotePr>
    <w:endnote w:id="0"/>
    <w:endnote w:id="1"/>
  </w:endnotePr>
  <w:compat/>
  <w:rsids>
    <w:rsidRoot w:val="00581C5E"/>
    <w:rsid w:val="00003A24"/>
    <w:rsid w:val="000066C8"/>
    <w:rsid w:val="00007827"/>
    <w:rsid w:val="0001165B"/>
    <w:rsid w:val="00012D34"/>
    <w:rsid w:val="00014C27"/>
    <w:rsid w:val="00016828"/>
    <w:rsid w:val="00030ABB"/>
    <w:rsid w:val="00032339"/>
    <w:rsid w:val="0003317A"/>
    <w:rsid w:val="00041263"/>
    <w:rsid w:val="00042ED8"/>
    <w:rsid w:val="00044B38"/>
    <w:rsid w:val="00045534"/>
    <w:rsid w:val="00046AA0"/>
    <w:rsid w:val="00051452"/>
    <w:rsid w:val="000533A1"/>
    <w:rsid w:val="00054E7D"/>
    <w:rsid w:val="00054F2A"/>
    <w:rsid w:val="00061CE9"/>
    <w:rsid w:val="000745C1"/>
    <w:rsid w:val="00074773"/>
    <w:rsid w:val="000826BB"/>
    <w:rsid w:val="0008343B"/>
    <w:rsid w:val="00092DAA"/>
    <w:rsid w:val="00094E35"/>
    <w:rsid w:val="00097033"/>
    <w:rsid w:val="000A21B7"/>
    <w:rsid w:val="000A226D"/>
    <w:rsid w:val="000A2B3A"/>
    <w:rsid w:val="000A4F68"/>
    <w:rsid w:val="000A7724"/>
    <w:rsid w:val="000C1E82"/>
    <w:rsid w:val="000C3324"/>
    <w:rsid w:val="000C36D9"/>
    <w:rsid w:val="000C6CEB"/>
    <w:rsid w:val="000D1BDA"/>
    <w:rsid w:val="000D24EF"/>
    <w:rsid w:val="000D2893"/>
    <w:rsid w:val="000D2DC2"/>
    <w:rsid w:val="000D41B3"/>
    <w:rsid w:val="000D4AA3"/>
    <w:rsid w:val="000D4C72"/>
    <w:rsid w:val="000D4D28"/>
    <w:rsid w:val="000D6B5B"/>
    <w:rsid w:val="000D7620"/>
    <w:rsid w:val="000E3279"/>
    <w:rsid w:val="000F0D0E"/>
    <w:rsid w:val="000F2E59"/>
    <w:rsid w:val="000F45E9"/>
    <w:rsid w:val="001059A7"/>
    <w:rsid w:val="00106304"/>
    <w:rsid w:val="00113B13"/>
    <w:rsid w:val="00114B33"/>
    <w:rsid w:val="00116DA4"/>
    <w:rsid w:val="00126B85"/>
    <w:rsid w:val="00132A93"/>
    <w:rsid w:val="00137F17"/>
    <w:rsid w:val="00145E71"/>
    <w:rsid w:val="00147188"/>
    <w:rsid w:val="00153A6C"/>
    <w:rsid w:val="00154472"/>
    <w:rsid w:val="001546B5"/>
    <w:rsid w:val="001616B8"/>
    <w:rsid w:val="00162D82"/>
    <w:rsid w:val="00163D53"/>
    <w:rsid w:val="001643B4"/>
    <w:rsid w:val="0017022F"/>
    <w:rsid w:val="001729C7"/>
    <w:rsid w:val="00177ECB"/>
    <w:rsid w:val="00183FDC"/>
    <w:rsid w:val="00184325"/>
    <w:rsid w:val="00185C18"/>
    <w:rsid w:val="00187621"/>
    <w:rsid w:val="00191CC4"/>
    <w:rsid w:val="00192562"/>
    <w:rsid w:val="00194A4B"/>
    <w:rsid w:val="001A0C70"/>
    <w:rsid w:val="001A0DA4"/>
    <w:rsid w:val="001A594B"/>
    <w:rsid w:val="001A667E"/>
    <w:rsid w:val="001A6F8B"/>
    <w:rsid w:val="001C323E"/>
    <w:rsid w:val="001D164E"/>
    <w:rsid w:val="001D2C3E"/>
    <w:rsid w:val="001D5C67"/>
    <w:rsid w:val="001E0696"/>
    <w:rsid w:val="001E6E3C"/>
    <w:rsid w:val="001E799E"/>
    <w:rsid w:val="001E7F46"/>
    <w:rsid w:val="001F2815"/>
    <w:rsid w:val="001F3423"/>
    <w:rsid w:val="00213F6F"/>
    <w:rsid w:val="00214B2D"/>
    <w:rsid w:val="002151ED"/>
    <w:rsid w:val="002176FD"/>
    <w:rsid w:val="002240FE"/>
    <w:rsid w:val="002243A0"/>
    <w:rsid w:val="0022623E"/>
    <w:rsid w:val="00227A1B"/>
    <w:rsid w:val="00240ED8"/>
    <w:rsid w:val="00243AE2"/>
    <w:rsid w:val="0024622D"/>
    <w:rsid w:val="00250524"/>
    <w:rsid w:val="00255F1A"/>
    <w:rsid w:val="00264335"/>
    <w:rsid w:val="002643E7"/>
    <w:rsid w:val="00265370"/>
    <w:rsid w:val="00265D7E"/>
    <w:rsid w:val="002741D3"/>
    <w:rsid w:val="0028320C"/>
    <w:rsid w:val="0028363F"/>
    <w:rsid w:val="00283FD5"/>
    <w:rsid w:val="00284BDB"/>
    <w:rsid w:val="0028633B"/>
    <w:rsid w:val="00287032"/>
    <w:rsid w:val="00291EF7"/>
    <w:rsid w:val="002B01B8"/>
    <w:rsid w:val="002B0741"/>
    <w:rsid w:val="002B3FF7"/>
    <w:rsid w:val="002B4A64"/>
    <w:rsid w:val="002C2C94"/>
    <w:rsid w:val="002C4B4E"/>
    <w:rsid w:val="002C6055"/>
    <w:rsid w:val="002C6538"/>
    <w:rsid w:val="002C6581"/>
    <w:rsid w:val="002C6902"/>
    <w:rsid w:val="002C6E0F"/>
    <w:rsid w:val="002D23F0"/>
    <w:rsid w:val="002D7905"/>
    <w:rsid w:val="002E1BFE"/>
    <w:rsid w:val="002E211E"/>
    <w:rsid w:val="002E3AFF"/>
    <w:rsid w:val="002E7F0E"/>
    <w:rsid w:val="002F23D8"/>
    <w:rsid w:val="002F46EE"/>
    <w:rsid w:val="00303B99"/>
    <w:rsid w:val="00304975"/>
    <w:rsid w:val="00304DDF"/>
    <w:rsid w:val="003067FB"/>
    <w:rsid w:val="00320B91"/>
    <w:rsid w:val="0032302B"/>
    <w:rsid w:val="0032606D"/>
    <w:rsid w:val="0032761C"/>
    <w:rsid w:val="00330033"/>
    <w:rsid w:val="003428B2"/>
    <w:rsid w:val="00342F09"/>
    <w:rsid w:val="00342F32"/>
    <w:rsid w:val="00345A17"/>
    <w:rsid w:val="00351209"/>
    <w:rsid w:val="00351B23"/>
    <w:rsid w:val="00352A68"/>
    <w:rsid w:val="003553D0"/>
    <w:rsid w:val="0035701E"/>
    <w:rsid w:val="00357F79"/>
    <w:rsid w:val="00361EF5"/>
    <w:rsid w:val="00364870"/>
    <w:rsid w:val="0036516A"/>
    <w:rsid w:val="00372B85"/>
    <w:rsid w:val="00377282"/>
    <w:rsid w:val="00377689"/>
    <w:rsid w:val="003779D0"/>
    <w:rsid w:val="003811C5"/>
    <w:rsid w:val="0038192C"/>
    <w:rsid w:val="003838B7"/>
    <w:rsid w:val="0038602F"/>
    <w:rsid w:val="00391380"/>
    <w:rsid w:val="00391EDE"/>
    <w:rsid w:val="0039363F"/>
    <w:rsid w:val="003A107B"/>
    <w:rsid w:val="003A137D"/>
    <w:rsid w:val="003A35C5"/>
    <w:rsid w:val="003A50DD"/>
    <w:rsid w:val="003A6B3F"/>
    <w:rsid w:val="003B0005"/>
    <w:rsid w:val="003B4177"/>
    <w:rsid w:val="003B79F9"/>
    <w:rsid w:val="003C1018"/>
    <w:rsid w:val="003C1303"/>
    <w:rsid w:val="003C3662"/>
    <w:rsid w:val="003C4BF8"/>
    <w:rsid w:val="003C7F9D"/>
    <w:rsid w:val="003D573D"/>
    <w:rsid w:val="003D59EC"/>
    <w:rsid w:val="003E02BB"/>
    <w:rsid w:val="003E037C"/>
    <w:rsid w:val="003E1DEF"/>
    <w:rsid w:val="003E4B81"/>
    <w:rsid w:val="003E6F75"/>
    <w:rsid w:val="003F1125"/>
    <w:rsid w:val="003F4807"/>
    <w:rsid w:val="004035FB"/>
    <w:rsid w:val="00421F30"/>
    <w:rsid w:val="004239CD"/>
    <w:rsid w:val="00423E96"/>
    <w:rsid w:val="00433543"/>
    <w:rsid w:val="00443F14"/>
    <w:rsid w:val="00446342"/>
    <w:rsid w:val="00454EDB"/>
    <w:rsid w:val="004575A8"/>
    <w:rsid w:val="0046376A"/>
    <w:rsid w:val="00471083"/>
    <w:rsid w:val="00473CC0"/>
    <w:rsid w:val="00476B85"/>
    <w:rsid w:val="00476E27"/>
    <w:rsid w:val="00484CF5"/>
    <w:rsid w:val="004853FD"/>
    <w:rsid w:val="00486C91"/>
    <w:rsid w:val="00492980"/>
    <w:rsid w:val="0049712F"/>
    <w:rsid w:val="004971F9"/>
    <w:rsid w:val="00497511"/>
    <w:rsid w:val="004976AD"/>
    <w:rsid w:val="004B5A13"/>
    <w:rsid w:val="004C044C"/>
    <w:rsid w:val="004C49F0"/>
    <w:rsid w:val="004C5764"/>
    <w:rsid w:val="004D1D37"/>
    <w:rsid w:val="004D2299"/>
    <w:rsid w:val="004D2A86"/>
    <w:rsid w:val="004D432F"/>
    <w:rsid w:val="004D61C4"/>
    <w:rsid w:val="004D672E"/>
    <w:rsid w:val="004D7184"/>
    <w:rsid w:val="004D7D19"/>
    <w:rsid w:val="004E6484"/>
    <w:rsid w:val="004F0F1A"/>
    <w:rsid w:val="004F3A8E"/>
    <w:rsid w:val="004F77EA"/>
    <w:rsid w:val="00501B67"/>
    <w:rsid w:val="00506FFA"/>
    <w:rsid w:val="00507B39"/>
    <w:rsid w:val="00512E3D"/>
    <w:rsid w:val="00514A21"/>
    <w:rsid w:val="0052110F"/>
    <w:rsid w:val="0052215D"/>
    <w:rsid w:val="00535C1A"/>
    <w:rsid w:val="00541704"/>
    <w:rsid w:val="00541A0F"/>
    <w:rsid w:val="00550BE7"/>
    <w:rsid w:val="005525C3"/>
    <w:rsid w:val="005652E6"/>
    <w:rsid w:val="00566A2D"/>
    <w:rsid w:val="00581041"/>
    <w:rsid w:val="00581C5E"/>
    <w:rsid w:val="00584B1D"/>
    <w:rsid w:val="005900C8"/>
    <w:rsid w:val="00590F7A"/>
    <w:rsid w:val="00594E3E"/>
    <w:rsid w:val="0059548D"/>
    <w:rsid w:val="00596EC6"/>
    <w:rsid w:val="005A6011"/>
    <w:rsid w:val="005A7C03"/>
    <w:rsid w:val="005B0CD7"/>
    <w:rsid w:val="005C0128"/>
    <w:rsid w:val="005C1482"/>
    <w:rsid w:val="005C1E15"/>
    <w:rsid w:val="005D15B1"/>
    <w:rsid w:val="005D6658"/>
    <w:rsid w:val="005E0C49"/>
    <w:rsid w:val="005E55D9"/>
    <w:rsid w:val="005E5673"/>
    <w:rsid w:val="005F0BC1"/>
    <w:rsid w:val="005F16DA"/>
    <w:rsid w:val="005F573C"/>
    <w:rsid w:val="005F65C8"/>
    <w:rsid w:val="006004E5"/>
    <w:rsid w:val="0060120D"/>
    <w:rsid w:val="006028A1"/>
    <w:rsid w:val="00603B55"/>
    <w:rsid w:val="006053FD"/>
    <w:rsid w:val="006065C3"/>
    <w:rsid w:val="00606F88"/>
    <w:rsid w:val="006113C2"/>
    <w:rsid w:val="0061151B"/>
    <w:rsid w:val="00616FC1"/>
    <w:rsid w:val="00617AE7"/>
    <w:rsid w:val="00627350"/>
    <w:rsid w:val="006279E0"/>
    <w:rsid w:val="006321C5"/>
    <w:rsid w:val="00632CDA"/>
    <w:rsid w:val="00632D64"/>
    <w:rsid w:val="00633E3A"/>
    <w:rsid w:val="00634597"/>
    <w:rsid w:val="00634C70"/>
    <w:rsid w:val="006374DC"/>
    <w:rsid w:val="006406BA"/>
    <w:rsid w:val="00642DB6"/>
    <w:rsid w:val="00646D6B"/>
    <w:rsid w:val="00647A7A"/>
    <w:rsid w:val="006560AF"/>
    <w:rsid w:val="0066258E"/>
    <w:rsid w:val="00665F16"/>
    <w:rsid w:val="0066759E"/>
    <w:rsid w:val="0066768F"/>
    <w:rsid w:val="00671DE3"/>
    <w:rsid w:val="00673498"/>
    <w:rsid w:val="006744E5"/>
    <w:rsid w:val="00677E07"/>
    <w:rsid w:val="0068235E"/>
    <w:rsid w:val="00682577"/>
    <w:rsid w:val="006843A7"/>
    <w:rsid w:val="00687059"/>
    <w:rsid w:val="006908C7"/>
    <w:rsid w:val="006909E0"/>
    <w:rsid w:val="00694874"/>
    <w:rsid w:val="006957A6"/>
    <w:rsid w:val="006A027E"/>
    <w:rsid w:val="006A111F"/>
    <w:rsid w:val="006A2E56"/>
    <w:rsid w:val="006A616B"/>
    <w:rsid w:val="006A7046"/>
    <w:rsid w:val="006C08D1"/>
    <w:rsid w:val="006C12A7"/>
    <w:rsid w:val="006C6E03"/>
    <w:rsid w:val="006D1643"/>
    <w:rsid w:val="006D2C31"/>
    <w:rsid w:val="006E10A1"/>
    <w:rsid w:val="006E1DE8"/>
    <w:rsid w:val="006E35DC"/>
    <w:rsid w:val="006F2431"/>
    <w:rsid w:val="006F5B41"/>
    <w:rsid w:val="006F761B"/>
    <w:rsid w:val="007032F5"/>
    <w:rsid w:val="007073F2"/>
    <w:rsid w:val="00710707"/>
    <w:rsid w:val="007149EF"/>
    <w:rsid w:val="007173C1"/>
    <w:rsid w:val="007317CF"/>
    <w:rsid w:val="00732E50"/>
    <w:rsid w:val="0073303A"/>
    <w:rsid w:val="00737479"/>
    <w:rsid w:val="00740C0C"/>
    <w:rsid w:val="00743CC7"/>
    <w:rsid w:val="00756BC4"/>
    <w:rsid w:val="00756D79"/>
    <w:rsid w:val="00756FBA"/>
    <w:rsid w:val="007654A2"/>
    <w:rsid w:val="007657D8"/>
    <w:rsid w:val="00765CF3"/>
    <w:rsid w:val="007745D5"/>
    <w:rsid w:val="0077728C"/>
    <w:rsid w:val="00777614"/>
    <w:rsid w:val="007855C7"/>
    <w:rsid w:val="0079028B"/>
    <w:rsid w:val="007930B5"/>
    <w:rsid w:val="00793712"/>
    <w:rsid w:val="0079496C"/>
    <w:rsid w:val="007A2854"/>
    <w:rsid w:val="007A53EC"/>
    <w:rsid w:val="007A6734"/>
    <w:rsid w:val="007A7C06"/>
    <w:rsid w:val="007B344C"/>
    <w:rsid w:val="007B3826"/>
    <w:rsid w:val="007B5DB5"/>
    <w:rsid w:val="007B7694"/>
    <w:rsid w:val="007B774A"/>
    <w:rsid w:val="007B7D21"/>
    <w:rsid w:val="007C056F"/>
    <w:rsid w:val="007C6BEA"/>
    <w:rsid w:val="007D1424"/>
    <w:rsid w:val="007D4E04"/>
    <w:rsid w:val="007D694A"/>
    <w:rsid w:val="007E054D"/>
    <w:rsid w:val="007E20C8"/>
    <w:rsid w:val="007E3E3F"/>
    <w:rsid w:val="007E4301"/>
    <w:rsid w:val="007F4B41"/>
    <w:rsid w:val="008005F8"/>
    <w:rsid w:val="008121E0"/>
    <w:rsid w:val="00812F20"/>
    <w:rsid w:val="0082223A"/>
    <w:rsid w:val="008279BD"/>
    <w:rsid w:val="0083080D"/>
    <w:rsid w:val="00841D3E"/>
    <w:rsid w:val="0084354F"/>
    <w:rsid w:val="0084642E"/>
    <w:rsid w:val="00847DFD"/>
    <w:rsid w:val="00853C99"/>
    <w:rsid w:val="00855E8E"/>
    <w:rsid w:val="008568E6"/>
    <w:rsid w:val="00860797"/>
    <w:rsid w:val="008612F6"/>
    <w:rsid w:val="00864B05"/>
    <w:rsid w:val="0086503F"/>
    <w:rsid w:val="0086775C"/>
    <w:rsid w:val="00873639"/>
    <w:rsid w:val="00874C90"/>
    <w:rsid w:val="008760D9"/>
    <w:rsid w:val="00883F22"/>
    <w:rsid w:val="00885DFE"/>
    <w:rsid w:val="0089175C"/>
    <w:rsid w:val="008941E6"/>
    <w:rsid w:val="008949D5"/>
    <w:rsid w:val="0089613B"/>
    <w:rsid w:val="008963B0"/>
    <w:rsid w:val="008A4E09"/>
    <w:rsid w:val="008B59E6"/>
    <w:rsid w:val="008B5A32"/>
    <w:rsid w:val="008B6F38"/>
    <w:rsid w:val="008B72FC"/>
    <w:rsid w:val="008C2DC9"/>
    <w:rsid w:val="008C79D1"/>
    <w:rsid w:val="008D2425"/>
    <w:rsid w:val="008E3C4E"/>
    <w:rsid w:val="008E5050"/>
    <w:rsid w:val="008E70CB"/>
    <w:rsid w:val="008F0F99"/>
    <w:rsid w:val="008F5070"/>
    <w:rsid w:val="00906391"/>
    <w:rsid w:val="0090704E"/>
    <w:rsid w:val="0091143F"/>
    <w:rsid w:val="00911A06"/>
    <w:rsid w:val="00915932"/>
    <w:rsid w:val="00922BCC"/>
    <w:rsid w:val="0092450D"/>
    <w:rsid w:val="00926481"/>
    <w:rsid w:val="009313FC"/>
    <w:rsid w:val="009317CB"/>
    <w:rsid w:val="00931CA4"/>
    <w:rsid w:val="009355B7"/>
    <w:rsid w:val="0095077E"/>
    <w:rsid w:val="0095531D"/>
    <w:rsid w:val="00955DE9"/>
    <w:rsid w:val="009574CD"/>
    <w:rsid w:val="009600FF"/>
    <w:rsid w:val="00962D76"/>
    <w:rsid w:val="009646FF"/>
    <w:rsid w:val="00972F48"/>
    <w:rsid w:val="0097342A"/>
    <w:rsid w:val="00974D5F"/>
    <w:rsid w:val="00977BC7"/>
    <w:rsid w:val="00980AC1"/>
    <w:rsid w:val="0098182B"/>
    <w:rsid w:val="00992028"/>
    <w:rsid w:val="009924BB"/>
    <w:rsid w:val="009932F8"/>
    <w:rsid w:val="009A34A1"/>
    <w:rsid w:val="009A5851"/>
    <w:rsid w:val="009A6120"/>
    <w:rsid w:val="009B0546"/>
    <w:rsid w:val="009B3A14"/>
    <w:rsid w:val="009B4C11"/>
    <w:rsid w:val="009B5861"/>
    <w:rsid w:val="009B7B5C"/>
    <w:rsid w:val="009C0857"/>
    <w:rsid w:val="009C4385"/>
    <w:rsid w:val="009C4F33"/>
    <w:rsid w:val="009C6BE7"/>
    <w:rsid w:val="009D523F"/>
    <w:rsid w:val="009E5AE9"/>
    <w:rsid w:val="009E6088"/>
    <w:rsid w:val="009F2A40"/>
    <w:rsid w:val="00A04E82"/>
    <w:rsid w:val="00A07522"/>
    <w:rsid w:val="00A20A5B"/>
    <w:rsid w:val="00A2556B"/>
    <w:rsid w:val="00A26655"/>
    <w:rsid w:val="00A30018"/>
    <w:rsid w:val="00A347E4"/>
    <w:rsid w:val="00A3569A"/>
    <w:rsid w:val="00A375E7"/>
    <w:rsid w:val="00A438CD"/>
    <w:rsid w:val="00A462B8"/>
    <w:rsid w:val="00A52844"/>
    <w:rsid w:val="00A53557"/>
    <w:rsid w:val="00A5415E"/>
    <w:rsid w:val="00A54D50"/>
    <w:rsid w:val="00A73D3D"/>
    <w:rsid w:val="00A7478E"/>
    <w:rsid w:val="00A7580D"/>
    <w:rsid w:val="00A81360"/>
    <w:rsid w:val="00A827D3"/>
    <w:rsid w:val="00A83ABA"/>
    <w:rsid w:val="00A863A0"/>
    <w:rsid w:val="00A871D3"/>
    <w:rsid w:val="00A92EFE"/>
    <w:rsid w:val="00A9536A"/>
    <w:rsid w:val="00AA17E9"/>
    <w:rsid w:val="00AA29AC"/>
    <w:rsid w:val="00AA3B93"/>
    <w:rsid w:val="00AA6959"/>
    <w:rsid w:val="00AB0E24"/>
    <w:rsid w:val="00AC05D6"/>
    <w:rsid w:val="00AD28B6"/>
    <w:rsid w:val="00AD307C"/>
    <w:rsid w:val="00AD4AEC"/>
    <w:rsid w:val="00AE0BEF"/>
    <w:rsid w:val="00AF1546"/>
    <w:rsid w:val="00AF2B78"/>
    <w:rsid w:val="00B04EB6"/>
    <w:rsid w:val="00B06B06"/>
    <w:rsid w:val="00B12189"/>
    <w:rsid w:val="00B14430"/>
    <w:rsid w:val="00B235FC"/>
    <w:rsid w:val="00B26230"/>
    <w:rsid w:val="00B30B52"/>
    <w:rsid w:val="00B31E1F"/>
    <w:rsid w:val="00B335C8"/>
    <w:rsid w:val="00B34BC3"/>
    <w:rsid w:val="00B35EB5"/>
    <w:rsid w:val="00B37108"/>
    <w:rsid w:val="00B415A8"/>
    <w:rsid w:val="00B4206B"/>
    <w:rsid w:val="00B43C92"/>
    <w:rsid w:val="00B53E86"/>
    <w:rsid w:val="00B612D5"/>
    <w:rsid w:val="00B63BFF"/>
    <w:rsid w:val="00B65A52"/>
    <w:rsid w:val="00B7351F"/>
    <w:rsid w:val="00B7689D"/>
    <w:rsid w:val="00B81053"/>
    <w:rsid w:val="00B86764"/>
    <w:rsid w:val="00B9428E"/>
    <w:rsid w:val="00B9436B"/>
    <w:rsid w:val="00B971B5"/>
    <w:rsid w:val="00B97C5A"/>
    <w:rsid w:val="00BA0D41"/>
    <w:rsid w:val="00BA1478"/>
    <w:rsid w:val="00BA57E6"/>
    <w:rsid w:val="00BB218B"/>
    <w:rsid w:val="00BB4534"/>
    <w:rsid w:val="00BB54DE"/>
    <w:rsid w:val="00BB6C19"/>
    <w:rsid w:val="00BB7694"/>
    <w:rsid w:val="00BC4C70"/>
    <w:rsid w:val="00BC5DD2"/>
    <w:rsid w:val="00BC7C01"/>
    <w:rsid w:val="00BD2FA6"/>
    <w:rsid w:val="00BD44A5"/>
    <w:rsid w:val="00BD4629"/>
    <w:rsid w:val="00BD5752"/>
    <w:rsid w:val="00BD7238"/>
    <w:rsid w:val="00BE1C62"/>
    <w:rsid w:val="00BE23BC"/>
    <w:rsid w:val="00BE529C"/>
    <w:rsid w:val="00BE64C2"/>
    <w:rsid w:val="00C01341"/>
    <w:rsid w:val="00C016AA"/>
    <w:rsid w:val="00C04763"/>
    <w:rsid w:val="00C061D3"/>
    <w:rsid w:val="00C0628C"/>
    <w:rsid w:val="00C06D70"/>
    <w:rsid w:val="00C12799"/>
    <w:rsid w:val="00C15185"/>
    <w:rsid w:val="00C1740B"/>
    <w:rsid w:val="00C1786A"/>
    <w:rsid w:val="00C20801"/>
    <w:rsid w:val="00C314D1"/>
    <w:rsid w:val="00C32596"/>
    <w:rsid w:val="00C37E7A"/>
    <w:rsid w:val="00C409F0"/>
    <w:rsid w:val="00C54C56"/>
    <w:rsid w:val="00C61FC1"/>
    <w:rsid w:val="00C66274"/>
    <w:rsid w:val="00C66477"/>
    <w:rsid w:val="00C669BF"/>
    <w:rsid w:val="00C756FE"/>
    <w:rsid w:val="00C76503"/>
    <w:rsid w:val="00C816E9"/>
    <w:rsid w:val="00C87F3C"/>
    <w:rsid w:val="00C91879"/>
    <w:rsid w:val="00C93CED"/>
    <w:rsid w:val="00C940A5"/>
    <w:rsid w:val="00C9491E"/>
    <w:rsid w:val="00CA1282"/>
    <w:rsid w:val="00CA36C1"/>
    <w:rsid w:val="00CA464F"/>
    <w:rsid w:val="00CA5A96"/>
    <w:rsid w:val="00CC0638"/>
    <w:rsid w:val="00CC2B84"/>
    <w:rsid w:val="00CC367F"/>
    <w:rsid w:val="00CC4642"/>
    <w:rsid w:val="00CD0855"/>
    <w:rsid w:val="00CD627A"/>
    <w:rsid w:val="00CF1A4B"/>
    <w:rsid w:val="00D012A6"/>
    <w:rsid w:val="00D02481"/>
    <w:rsid w:val="00D219CD"/>
    <w:rsid w:val="00D25EAA"/>
    <w:rsid w:val="00D277CC"/>
    <w:rsid w:val="00D34BA8"/>
    <w:rsid w:val="00D42A73"/>
    <w:rsid w:val="00D5040E"/>
    <w:rsid w:val="00D51772"/>
    <w:rsid w:val="00D526BC"/>
    <w:rsid w:val="00D530D3"/>
    <w:rsid w:val="00D53CB5"/>
    <w:rsid w:val="00D55399"/>
    <w:rsid w:val="00D6164F"/>
    <w:rsid w:val="00D62C3A"/>
    <w:rsid w:val="00D66EC2"/>
    <w:rsid w:val="00D70F1D"/>
    <w:rsid w:val="00D71B3D"/>
    <w:rsid w:val="00D76827"/>
    <w:rsid w:val="00D8303F"/>
    <w:rsid w:val="00D86E0F"/>
    <w:rsid w:val="00D94168"/>
    <w:rsid w:val="00D97C35"/>
    <w:rsid w:val="00DA3F78"/>
    <w:rsid w:val="00DA7DE7"/>
    <w:rsid w:val="00DB05A7"/>
    <w:rsid w:val="00DC0E09"/>
    <w:rsid w:val="00DC2B99"/>
    <w:rsid w:val="00DC36EB"/>
    <w:rsid w:val="00DC5632"/>
    <w:rsid w:val="00DD26EB"/>
    <w:rsid w:val="00DD553E"/>
    <w:rsid w:val="00DD58E7"/>
    <w:rsid w:val="00DE1097"/>
    <w:rsid w:val="00DE19FD"/>
    <w:rsid w:val="00DE2452"/>
    <w:rsid w:val="00DE4ECB"/>
    <w:rsid w:val="00DE7423"/>
    <w:rsid w:val="00DF4423"/>
    <w:rsid w:val="00DF717E"/>
    <w:rsid w:val="00E003FF"/>
    <w:rsid w:val="00E01124"/>
    <w:rsid w:val="00E01DAD"/>
    <w:rsid w:val="00E03F49"/>
    <w:rsid w:val="00E0566B"/>
    <w:rsid w:val="00E05ACF"/>
    <w:rsid w:val="00E11270"/>
    <w:rsid w:val="00E1371F"/>
    <w:rsid w:val="00E152FD"/>
    <w:rsid w:val="00E16CD1"/>
    <w:rsid w:val="00E20D3D"/>
    <w:rsid w:val="00E24322"/>
    <w:rsid w:val="00E3392C"/>
    <w:rsid w:val="00E42988"/>
    <w:rsid w:val="00E4392B"/>
    <w:rsid w:val="00E4743C"/>
    <w:rsid w:val="00E52148"/>
    <w:rsid w:val="00E5214F"/>
    <w:rsid w:val="00E57D1B"/>
    <w:rsid w:val="00E60A95"/>
    <w:rsid w:val="00E616F0"/>
    <w:rsid w:val="00E70332"/>
    <w:rsid w:val="00E767ED"/>
    <w:rsid w:val="00E76FAB"/>
    <w:rsid w:val="00E77067"/>
    <w:rsid w:val="00E80989"/>
    <w:rsid w:val="00E8188E"/>
    <w:rsid w:val="00E875A6"/>
    <w:rsid w:val="00E92D56"/>
    <w:rsid w:val="00EA5E2A"/>
    <w:rsid w:val="00EA646B"/>
    <w:rsid w:val="00EA66CF"/>
    <w:rsid w:val="00EB2AF1"/>
    <w:rsid w:val="00EB32CD"/>
    <w:rsid w:val="00EC6B41"/>
    <w:rsid w:val="00EC6D48"/>
    <w:rsid w:val="00ED08D8"/>
    <w:rsid w:val="00ED0A34"/>
    <w:rsid w:val="00ED1A2B"/>
    <w:rsid w:val="00ED1CC7"/>
    <w:rsid w:val="00ED5E46"/>
    <w:rsid w:val="00ED68C5"/>
    <w:rsid w:val="00EE188C"/>
    <w:rsid w:val="00EE5F1B"/>
    <w:rsid w:val="00EE7104"/>
    <w:rsid w:val="00EE79A0"/>
    <w:rsid w:val="00F018F7"/>
    <w:rsid w:val="00F04B92"/>
    <w:rsid w:val="00F22C81"/>
    <w:rsid w:val="00F2693C"/>
    <w:rsid w:val="00F274F7"/>
    <w:rsid w:val="00F312C7"/>
    <w:rsid w:val="00F374D6"/>
    <w:rsid w:val="00F37FB2"/>
    <w:rsid w:val="00F42C98"/>
    <w:rsid w:val="00F47E07"/>
    <w:rsid w:val="00F507C6"/>
    <w:rsid w:val="00F51755"/>
    <w:rsid w:val="00F5236D"/>
    <w:rsid w:val="00F52EF0"/>
    <w:rsid w:val="00F60709"/>
    <w:rsid w:val="00F731C5"/>
    <w:rsid w:val="00F74511"/>
    <w:rsid w:val="00F755D5"/>
    <w:rsid w:val="00F80B5E"/>
    <w:rsid w:val="00F81C85"/>
    <w:rsid w:val="00F81E0B"/>
    <w:rsid w:val="00F820F1"/>
    <w:rsid w:val="00F90918"/>
    <w:rsid w:val="00F96BFE"/>
    <w:rsid w:val="00F97E1A"/>
    <w:rsid w:val="00FA0106"/>
    <w:rsid w:val="00FA0A03"/>
    <w:rsid w:val="00FA31FC"/>
    <w:rsid w:val="00FC1025"/>
    <w:rsid w:val="00FC54F1"/>
    <w:rsid w:val="00FD0EC9"/>
    <w:rsid w:val="00FD279F"/>
    <w:rsid w:val="00FD2DFA"/>
    <w:rsid w:val="00FE3220"/>
    <w:rsid w:val="00FF28FA"/>
    <w:rsid w:val="00FF3196"/>
    <w:rsid w:val="00FF5C82"/>
    <w:rsid w:val="00FF5E7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97C5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3C1018"/>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3C1018"/>
    <w:pPr>
      <w:keepNext/>
      <w:outlineLvl w:val="1"/>
    </w:pPr>
    <w:rPr>
      <w:sz w:val="24"/>
    </w:rPr>
  </w:style>
  <w:style w:type="paragraph" w:styleId="Ttulo3">
    <w:name w:val="heading 3"/>
    <w:basedOn w:val="Normal"/>
    <w:next w:val="Normal"/>
    <w:qFormat/>
    <w:rsid w:val="003C1018"/>
    <w:pPr>
      <w:keepNext/>
      <w:spacing w:before="40" w:after="40"/>
      <w:jc w:val="center"/>
      <w:outlineLvl w:val="2"/>
    </w:pPr>
    <w:rPr>
      <w:rFonts w:cs="Arial"/>
      <w:b/>
      <w:bCs w:val="0"/>
      <w:sz w:val="30"/>
    </w:rPr>
  </w:style>
  <w:style w:type="paragraph" w:styleId="Ttulo4">
    <w:name w:val="heading 4"/>
    <w:basedOn w:val="Normal"/>
    <w:next w:val="Normal"/>
    <w:qFormat/>
    <w:rsid w:val="003C1018"/>
    <w:pPr>
      <w:keepNext/>
      <w:spacing w:before="40" w:after="40"/>
      <w:jc w:val="center"/>
      <w:outlineLvl w:val="3"/>
    </w:pPr>
    <w:rPr>
      <w:rFonts w:cs="Arial"/>
      <w:b/>
      <w:bCs w:val="0"/>
    </w:rPr>
  </w:style>
  <w:style w:type="paragraph" w:styleId="Ttulo8">
    <w:name w:val="heading 8"/>
    <w:basedOn w:val="Normal"/>
    <w:next w:val="Normal"/>
    <w:qFormat/>
    <w:rsid w:val="003C1018"/>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3C1018"/>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3C1018"/>
  </w:style>
  <w:style w:type="paragraph" w:customStyle="1" w:styleId="Estilo1">
    <w:name w:val="Estilo1"/>
    <w:basedOn w:val="Normal"/>
    <w:link w:val="Estilo1Car"/>
    <w:qFormat/>
    <w:rsid w:val="003C1018"/>
    <w:pPr>
      <w:spacing w:before="120" w:after="120" w:line="240" w:lineRule="auto"/>
    </w:pPr>
    <w:rPr>
      <w:bCs w:val="0"/>
      <w:lang w:eastAsia="es-ES_tradnl"/>
    </w:rPr>
  </w:style>
  <w:style w:type="character" w:styleId="Refdenotaalpie">
    <w:name w:val="footnote reference"/>
    <w:uiPriority w:val="99"/>
    <w:semiHidden/>
    <w:rsid w:val="003C1018"/>
    <w:rPr>
      <w:vertAlign w:val="superscript"/>
    </w:rPr>
  </w:style>
  <w:style w:type="character" w:styleId="Hipervnculo">
    <w:name w:val="Hyperlink"/>
    <w:rsid w:val="003C1018"/>
    <w:rPr>
      <w:color w:val="0000FF"/>
      <w:u w:val="single"/>
    </w:rPr>
  </w:style>
  <w:style w:type="paragraph" w:styleId="Textoindependiente2">
    <w:name w:val="Body Text 2"/>
    <w:basedOn w:val="Normal"/>
    <w:rsid w:val="003C1018"/>
    <w:pPr>
      <w:spacing w:line="240" w:lineRule="auto"/>
    </w:pPr>
    <w:rPr>
      <w:rFonts w:cs="Arial"/>
      <w:bCs w:val="0"/>
      <w:sz w:val="22"/>
      <w:lang w:val="es-ES_tradnl" w:eastAsia="es-ES_tradnl"/>
    </w:rPr>
  </w:style>
  <w:style w:type="character" w:styleId="Refdenotaalfinal">
    <w:name w:val="endnote reference"/>
    <w:semiHidden/>
    <w:rsid w:val="003C1018"/>
    <w:rPr>
      <w:vertAlign w:val="superscript"/>
    </w:rPr>
  </w:style>
  <w:style w:type="paragraph" w:styleId="Textoindependiente3">
    <w:name w:val="Body Text 3"/>
    <w:basedOn w:val="Normal"/>
    <w:rsid w:val="003C1018"/>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rsid w:val="003C1018"/>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3C1018"/>
    <w:pPr>
      <w:keepNext/>
      <w:jc w:val="right"/>
    </w:pPr>
    <w:rPr>
      <w:b/>
    </w:rPr>
  </w:style>
  <w:style w:type="paragraph" w:customStyle="1" w:styleId="Aaoeeu">
    <w:name w:val="Aaoeeu"/>
    <w:rsid w:val="003C1018"/>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3C1018"/>
    <w:pPr>
      <w:tabs>
        <w:tab w:val="center" w:pos="4153"/>
        <w:tab w:val="right" w:pos="8306"/>
      </w:tabs>
    </w:pPr>
  </w:style>
  <w:style w:type="paragraph" w:customStyle="1" w:styleId="a">
    <w:name w:val="Âáóéêü"/>
    <w:rsid w:val="003C1018"/>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3C1018"/>
    <w:pPr>
      <w:jc w:val="right"/>
    </w:pPr>
    <w:rPr>
      <w:i/>
      <w:sz w:val="16"/>
    </w:rPr>
  </w:style>
  <w:style w:type="paragraph" w:customStyle="1" w:styleId="Aeeaoaeaa2">
    <w:name w:val="A?eeaoae?aa 2"/>
    <w:basedOn w:val="Aaoeeu"/>
    <w:next w:val="Aaoeeu"/>
    <w:rsid w:val="003C1018"/>
    <w:pPr>
      <w:keepNext/>
      <w:jc w:val="right"/>
    </w:pPr>
    <w:rPr>
      <w:i/>
    </w:rPr>
  </w:style>
  <w:style w:type="paragraph" w:customStyle="1" w:styleId="5Normal">
    <w:name w:val="5 Normal"/>
    <w:rsid w:val="003C1018"/>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sid w:val="003C1018"/>
    <w:rPr>
      <w:bCs w:val="0"/>
      <w:lang w:eastAsia="es-ES_tradnl"/>
    </w:rPr>
  </w:style>
  <w:style w:type="paragraph" w:styleId="Encabezado">
    <w:name w:val="header"/>
    <w:basedOn w:val="Normal"/>
    <w:link w:val="EncabezadoCar"/>
    <w:rsid w:val="003C1018"/>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rsid w:val="003C1018"/>
    <w:pPr>
      <w:tabs>
        <w:tab w:val="center" w:pos="4252"/>
        <w:tab w:val="right" w:pos="8504"/>
      </w:tabs>
    </w:pPr>
    <w:rPr>
      <w:bCs w:val="0"/>
      <w:sz w:val="22"/>
      <w:lang w:eastAsia="es-ES_tradnl"/>
    </w:rPr>
  </w:style>
  <w:style w:type="paragraph" w:styleId="Textonotaalfinal">
    <w:name w:val="endnote text"/>
    <w:basedOn w:val="Normal"/>
    <w:semiHidden/>
    <w:rsid w:val="003C1018"/>
    <w:pPr>
      <w:spacing w:line="240" w:lineRule="auto"/>
      <w:jc w:val="left"/>
    </w:pPr>
    <w:rPr>
      <w:rFonts w:ascii="Times New Roman" w:hAnsi="Times New Roman"/>
      <w:bCs w:val="0"/>
      <w:lang w:eastAsia="es-ES_tradnl"/>
    </w:rPr>
  </w:style>
  <w:style w:type="character" w:styleId="Nmerodepgina">
    <w:name w:val="page number"/>
    <w:basedOn w:val="Fuentedeprrafopredeter"/>
    <w:rsid w:val="003C1018"/>
  </w:style>
  <w:style w:type="paragraph" w:styleId="Ttulo">
    <w:name w:val="Title"/>
    <w:basedOn w:val="Normal"/>
    <w:link w:val="TtuloCar"/>
    <w:qFormat/>
    <w:rsid w:val="003C1018"/>
    <w:pPr>
      <w:spacing w:before="60" w:after="60"/>
      <w:jc w:val="center"/>
    </w:pPr>
    <w:rPr>
      <w:rFonts w:cs="Arial"/>
      <w:b/>
      <w:sz w:val="24"/>
      <w:szCs w:val="22"/>
      <w:lang w:val="pt-BR"/>
    </w:rPr>
  </w:style>
  <w:style w:type="paragraph" w:styleId="Mapadeldocumento">
    <w:name w:val="Document Map"/>
    <w:basedOn w:val="Normal"/>
    <w:semiHidden/>
    <w:rsid w:val="003C1018"/>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semiHidden/>
    <w:rsid w:val="003C1018"/>
    <w:rPr>
      <w:sz w:val="16"/>
      <w:szCs w:val="16"/>
    </w:rPr>
  </w:style>
  <w:style w:type="paragraph" w:styleId="Textocomentario">
    <w:name w:val="annotation text"/>
    <w:basedOn w:val="Normal"/>
    <w:link w:val="TextocomentarioCar"/>
    <w:uiPriority w:val="99"/>
    <w:rsid w:val="003C1018"/>
  </w:style>
  <w:style w:type="paragraph" w:styleId="Asuntodelcomentario">
    <w:name w:val="annotation subject"/>
    <w:basedOn w:val="Textocomentario"/>
    <w:next w:val="Textocomentario"/>
    <w:semiHidden/>
    <w:rsid w:val="003C1018"/>
    <w:rPr>
      <w:b/>
    </w:rPr>
  </w:style>
  <w:style w:type="character" w:customStyle="1" w:styleId="TextocomentarioCar">
    <w:name w:val="Texto comentario Car"/>
    <w:link w:val="Textocomentario"/>
    <w:uiPriority w:val="99"/>
    <w:rsid w:val="00550BE7"/>
    <w:rPr>
      <w:rFonts w:ascii="Arial" w:hAnsi="Arial"/>
      <w:bCs/>
    </w:rPr>
  </w:style>
  <w:style w:type="table" w:customStyle="1" w:styleId="Sombreadomedio11">
    <w:name w:val="Sombreado medio 11"/>
    <w:basedOn w:val="Tablanormal"/>
    <w:uiPriority w:val="63"/>
    <w:rsid w:val="006908C7"/>
    <w:rPr>
      <w:rFonts w:ascii="Calibri" w:hAnsi="Calibri"/>
      <w:sz w:val="22"/>
      <w:szCs w:val="22"/>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Estilo1Car">
    <w:name w:val="Estilo1 Car"/>
    <w:link w:val="Estilo1"/>
    <w:locked/>
    <w:rsid w:val="00980AC1"/>
    <w:rPr>
      <w:rFonts w:ascii="Arial" w:hAnsi="Arial"/>
      <w:lang w:eastAsia="es-ES_tradnl"/>
    </w:rPr>
  </w:style>
  <w:style w:type="paragraph" w:customStyle="1" w:styleId="Default">
    <w:name w:val="Default"/>
    <w:rsid w:val="00980AC1"/>
    <w:pPr>
      <w:autoSpaceDE w:val="0"/>
      <w:autoSpaceDN w:val="0"/>
      <w:adjustRightInd w:val="0"/>
    </w:pPr>
    <w:rPr>
      <w:rFonts w:ascii="Arial" w:eastAsia="Calibri" w:hAnsi="Arial" w:cs="Arial"/>
      <w:color w:val="000000"/>
      <w:sz w:val="24"/>
      <w:szCs w:val="24"/>
      <w:lang w:eastAsia="en-US"/>
    </w:rPr>
  </w:style>
  <w:style w:type="paragraph" w:styleId="Prrafodelista">
    <w:name w:val="List Paragraph"/>
    <w:basedOn w:val="Normal"/>
    <w:link w:val="PrrafodelistaCar"/>
    <w:uiPriority w:val="34"/>
    <w:qFormat/>
    <w:rsid w:val="00DB05A7"/>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link w:val="Prrafodelista"/>
    <w:uiPriority w:val="34"/>
    <w:locked/>
    <w:rsid w:val="00DB05A7"/>
    <w:rPr>
      <w:rFonts w:ascii="Calibri" w:eastAsia="Calibri" w:hAnsi="Calibri" w:cs="Calibri"/>
      <w:color w:val="000000"/>
      <w:sz w:val="22"/>
      <w:szCs w:val="22"/>
    </w:rPr>
  </w:style>
  <w:style w:type="paragraph" w:customStyle="1" w:styleId="Estndar">
    <w:name w:val="Estándar"/>
    <w:rsid w:val="0097342A"/>
    <w:pPr>
      <w:widowControl w:val="0"/>
      <w:jc w:val="both"/>
    </w:pPr>
    <w:rPr>
      <w:snapToGrid w:val="0"/>
      <w:color w:val="000000"/>
      <w:sz w:val="24"/>
    </w:rPr>
  </w:style>
  <w:style w:type="paragraph" w:styleId="Sinespaciado">
    <w:name w:val="No Spacing"/>
    <w:link w:val="SinespaciadoCar"/>
    <w:uiPriority w:val="1"/>
    <w:qFormat/>
    <w:rsid w:val="0097342A"/>
    <w:rPr>
      <w:rFonts w:ascii="Calibri" w:hAnsi="Calibri"/>
      <w:sz w:val="22"/>
      <w:szCs w:val="22"/>
      <w:lang w:eastAsia="en-US"/>
    </w:rPr>
  </w:style>
  <w:style w:type="character" w:customStyle="1" w:styleId="SinespaciadoCar">
    <w:name w:val="Sin espaciado Car"/>
    <w:link w:val="Sinespaciado"/>
    <w:uiPriority w:val="1"/>
    <w:rsid w:val="0097342A"/>
    <w:rPr>
      <w:rFonts w:ascii="Calibri" w:hAnsi="Calibri"/>
      <w:sz w:val="22"/>
      <w:szCs w:val="22"/>
      <w:lang w:eastAsia="en-US"/>
    </w:rPr>
  </w:style>
  <w:style w:type="character" w:customStyle="1" w:styleId="EncabezadoCar">
    <w:name w:val="Encabezado Car"/>
    <w:link w:val="Encabezado"/>
    <w:rsid w:val="0097342A"/>
    <w:rPr>
      <w:lang w:eastAsia="es-ES_tradnl"/>
    </w:rPr>
  </w:style>
  <w:style w:type="character" w:customStyle="1" w:styleId="PiedepginaCar">
    <w:name w:val="Pie de página Car"/>
    <w:link w:val="Piedepgina"/>
    <w:uiPriority w:val="99"/>
    <w:rsid w:val="0097342A"/>
    <w:rPr>
      <w:rFonts w:ascii="Arial" w:hAnsi="Arial"/>
      <w:sz w:val="22"/>
      <w:lang w:eastAsia="es-ES_tradnl"/>
    </w:rPr>
  </w:style>
  <w:style w:type="character" w:customStyle="1" w:styleId="TextoindependienteCar">
    <w:name w:val="Texto independiente Car"/>
    <w:basedOn w:val="Fuentedeprrafopredeter"/>
    <w:link w:val="Textoindependiente"/>
    <w:rsid w:val="00687059"/>
    <w:rPr>
      <w:rFonts w:ascii="Arial" w:hAnsi="Arial"/>
      <w:bCs/>
    </w:rPr>
  </w:style>
  <w:style w:type="character" w:customStyle="1" w:styleId="TextonotapieCar">
    <w:name w:val="Texto nota pie Car"/>
    <w:link w:val="Textonotapie"/>
    <w:uiPriority w:val="99"/>
    <w:semiHidden/>
    <w:rsid w:val="00FE3220"/>
    <w:rPr>
      <w:rFonts w:ascii="Arial" w:hAnsi="Arial"/>
      <w:lang w:eastAsia="es-ES_tradnl"/>
    </w:rPr>
  </w:style>
  <w:style w:type="character" w:customStyle="1" w:styleId="TtuloCar">
    <w:name w:val="Título Car"/>
    <w:link w:val="Ttulo"/>
    <w:rsid w:val="00FE3220"/>
    <w:rPr>
      <w:rFonts w:ascii="Arial" w:hAnsi="Arial" w:cs="Arial"/>
      <w:b/>
      <w:bCs/>
      <w:sz w:val="24"/>
      <w:szCs w:val="22"/>
      <w:lang w:val="pt-BR"/>
    </w:rPr>
  </w:style>
</w:styles>
</file>

<file path=word/webSettings.xml><?xml version="1.0" encoding="utf-8"?>
<w:webSettings xmlns:r="http://schemas.openxmlformats.org/officeDocument/2006/relationships" xmlns:w="http://schemas.openxmlformats.org/wordprocessingml/2006/main">
  <w:divs>
    <w:div w:id="169179508">
      <w:bodyDiv w:val="1"/>
      <w:marLeft w:val="0"/>
      <w:marRight w:val="0"/>
      <w:marTop w:val="0"/>
      <w:marBottom w:val="0"/>
      <w:divBdr>
        <w:top w:val="none" w:sz="0" w:space="0" w:color="auto"/>
        <w:left w:val="none" w:sz="0" w:space="0" w:color="auto"/>
        <w:bottom w:val="none" w:sz="0" w:space="0" w:color="auto"/>
        <w:right w:val="none" w:sz="0" w:space="0" w:color="auto"/>
      </w:divBdr>
    </w:div>
    <w:div w:id="171645790">
      <w:bodyDiv w:val="1"/>
      <w:marLeft w:val="0"/>
      <w:marRight w:val="0"/>
      <w:marTop w:val="0"/>
      <w:marBottom w:val="0"/>
      <w:divBdr>
        <w:top w:val="none" w:sz="0" w:space="0" w:color="auto"/>
        <w:left w:val="none" w:sz="0" w:space="0" w:color="auto"/>
        <w:bottom w:val="none" w:sz="0" w:space="0" w:color="auto"/>
        <w:right w:val="none" w:sz="0" w:space="0" w:color="auto"/>
      </w:divBdr>
    </w:div>
    <w:div w:id="172185806">
      <w:bodyDiv w:val="1"/>
      <w:marLeft w:val="0"/>
      <w:marRight w:val="0"/>
      <w:marTop w:val="0"/>
      <w:marBottom w:val="0"/>
      <w:divBdr>
        <w:top w:val="none" w:sz="0" w:space="0" w:color="auto"/>
        <w:left w:val="none" w:sz="0" w:space="0" w:color="auto"/>
        <w:bottom w:val="none" w:sz="0" w:space="0" w:color="auto"/>
        <w:right w:val="none" w:sz="0" w:space="0" w:color="auto"/>
      </w:divBdr>
    </w:div>
    <w:div w:id="270431920">
      <w:bodyDiv w:val="1"/>
      <w:marLeft w:val="0"/>
      <w:marRight w:val="0"/>
      <w:marTop w:val="0"/>
      <w:marBottom w:val="0"/>
      <w:divBdr>
        <w:top w:val="none" w:sz="0" w:space="0" w:color="auto"/>
        <w:left w:val="none" w:sz="0" w:space="0" w:color="auto"/>
        <w:bottom w:val="none" w:sz="0" w:space="0" w:color="auto"/>
        <w:right w:val="none" w:sz="0" w:space="0" w:color="auto"/>
      </w:divBdr>
    </w:div>
    <w:div w:id="342778518">
      <w:bodyDiv w:val="1"/>
      <w:marLeft w:val="0"/>
      <w:marRight w:val="0"/>
      <w:marTop w:val="0"/>
      <w:marBottom w:val="0"/>
      <w:divBdr>
        <w:top w:val="none" w:sz="0" w:space="0" w:color="auto"/>
        <w:left w:val="none" w:sz="0" w:space="0" w:color="auto"/>
        <w:bottom w:val="none" w:sz="0" w:space="0" w:color="auto"/>
        <w:right w:val="none" w:sz="0" w:space="0" w:color="auto"/>
      </w:divBdr>
    </w:div>
    <w:div w:id="399788696">
      <w:bodyDiv w:val="1"/>
      <w:marLeft w:val="0"/>
      <w:marRight w:val="0"/>
      <w:marTop w:val="0"/>
      <w:marBottom w:val="0"/>
      <w:divBdr>
        <w:top w:val="none" w:sz="0" w:space="0" w:color="auto"/>
        <w:left w:val="none" w:sz="0" w:space="0" w:color="auto"/>
        <w:bottom w:val="none" w:sz="0" w:space="0" w:color="auto"/>
        <w:right w:val="none" w:sz="0" w:space="0" w:color="auto"/>
      </w:divBdr>
    </w:div>
    <w:div w:id="684090357">
      <w:bodyDiv w:val="1"/>
      <w:marLeft w:val="0"/>
      <w:marRight w:val="0"/>
      <w:marTop w:val="0"/>
      <w:marBottom w:val="0"/>
      <w:divBdr>
        <w:top w:val="none" w:sz="0" w:space="0" w:color="auto"/>
        <w:left w:val="none" w:sz="0" w:space="0" w:color="auto"/>
        <w:bottom w:val="none" w:sz="0" w:space="0" w:color="auto"/>
        <w:right w:val="none" w:sz="0" w:space="0" w:color="auto"/>
      </w:divBdr>
    </w:div>
    <w:div w:id="911936116">
      <w:bodyDiv w:val="1"/>
      <w:marLeft w:val="0"/>
      <w:marRight w:val="0"/>
      <w:marTop w:val="0"/>
      <w:marBottom w:val="0"/>
      <w:divBdr>
        <w:top w:val="none" w:sz="0" w:space="0" w:color="auto"/>
        <w:left w:val="none" w:sz="0" w:space="0" w:color="auto"/>
        <w:bottom w:val="none" w:sz="0" w:space="0" w:color="auto"/>
        <w:right w:val="none" w:sz="0" w:space="0" w:color="auto"/>
      </w:divBdr>
    </w:div>
    <w:div w:id="1039861051">
      <w:bodyDiv w:val="1"/>
      <w:marLeft w:val="0"/>
      <w:marRight w:val="0"/>
      <w:marTop w:val="0"/>
      <w:marBottom w:val="0"/>
      <w:divBdr>
        <w:top w:val="none" w:sz="0" w:space="0" w:color="auto"/>
        <w:left w:val="none" w:sz="0" w:space="0" w:color="auto"/>
        <w:bottom w:val="none" w:sz="0" w:space="0" w:color="auto"/>
        <w:right w:val="none" w:sz="0" w:space="0" w:color="auto"/>
      </w:divBdr>
    </w:div>
    <w:div w:id="1093822766">
      <w:bodyDiv w:val="1"/>
      <w:marLeft w:val="0"/>
      <w:marRight w:val="0"/>
      <w:marTop w:val="0"/>
      <w:marBottom w:val="0"/>
      <w:divBdr>
        <w:top w:val="none" w:sz="0" w:space="0" w:color="auto"/>
        <w:left w:val="none" w:sz="0" w:space="0" w:color="auto"/>
        <w:bottom w:val="none" w:sz="0" w:space="0" w:color="auto"/>
        <w:right w:val="none" w:sz="0" w:space="0" w:color="auto"/>
      </w:divBdr>
    </w:div>
    <w:div w:id="1122991636">
      <w:bodyDiv w:val="1"/>
      <w:marLeft w:val="0"/>
      <w:marRight w:val="0"/>
      <w:marTop w:val="0"/>
      <w:marBottom w:val="0"/>
      <w:divBdr>
        <w:top w:val="none" w:sz="0" w:space="0" w:color="auto"/>
        <w:left w:val="none" w:sz="0" w:space="0" w:color="auto"/>
        <w:bottom w:val="none" w:sz="0" w:space="0" w:color="auto"/>
        <w:right w:val="none" w:sz="0" w:space="0" w:color="auto"/>
      </w:divBdr>
    </w:div>
    <w:div w:id="1288244607">
      <w:bodyDiv w:val="1"/>
      <w:marLeft w:val="0"/>
      <w:marRight w:val="0"/>
      <w:marTop w:val="0"/>
      <w:marBottom w:val="0"/>
      <w:divBdr>
        <w:top w:val="none" w:sz="0" w:space="0" w:color="auto"/>
        <w:left w:val="none" w:sz="0" w:space="0" w:color="auto"/>
        <w:bottom w:val="none" w:sz="0" w:space="0" w:color="auto"/>
        <w:right w:val="none" w:sz="0" w:space="0" w:color="auto"/>
      </w:divBdr>
    </w:div>
    <w:div w:id="1389304533">
      <w:bodyDiv w:val="1"/>
      <w:marLeft w:val="0"/>
      <w:marRight w:val="0"/>
      <w:marTop w:val="0"/>
      <w:marBottom w:val="0"/>
      <w:divBdr>
        <w:top w:val="none" w:sz="0" w:space="0" w:color="auto"/>
        <w:left w:val="none" w:sz="0" w:space="0" w:color="auto"/>
        <w:bottom w:val="none" w:sz="0" w:space="0" w:color="auto"/>
        <w:right w:val="none" w:sz="0" w:space="0" w:color="auto"/>
      </w:divBdr>
    </w:div>
    <w:div w:id="1612392820">
      <w:bodyDiv w:val="1"/>
      <w:marLeft w:val="0"/>
      <w:marRight w:val="0"/>
      <w:marTop w:val="0"/>
      <w:marBottom w:val="0"/>
      <w:divBdr>
        <w:top w:val="none" w:sz="0" w:space="0" w:color="auto"/>
        <w:left w:val="none" w:sz="0" w:space="0" w:color="auto"/>
        <w:bottom w:val="none" w:sz="0" w:space="0" w:color="auto"/>
        <w:right w:val="none" w:sz="0" w:space="0" w:color="auto"/>
      </w:divBdr>
    </w:div>
    <w:div w:id="1794710310">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378C19-D91D-4B0B-8EF6-10B24D3E1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249</Words>
  <Characters>1370</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Win</cp:lastModifiedBy>
  <cp:revision>2</cp:revision>
  <cp:lastPrinted>2012-08-29T09:59:00Z</cp:lastPrinted>
  <dcterms:created xsi:type="dcterms:W3CDTF">2017-06-15T10:29:00Z</dcterms:created>
  <dcterms:modified xsi:type="dcterms:W3CDTF">2017-06-15T10:29:00Z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1056503762</vt:i4>
  </property>
  <property fmtid="{D5CDD505-2E9C-101B-9397-08002B2CF9AE}" pid="3" name="_EmailSubject">
    <vt:lpwstr>MANUAL DE ORIENTACIONES BÁSICAS INNOCÁMARAS</vt:lpwstr>
  </property>
  <property fmtid="{D5CDD505-2E9C-101B-9397-08002B2CF9AE}" pid="4" name="_AuthorEmail">
    <vt:lpwstr>emilia.moreno@cscamaras.es</vt:lpwstr>
  </property>
  <property fmtid="{D5CDD505-2E9C-101B-9397-08002B2CF9AE}" pid="5" name="_AuthorEmailDisplayName">
    <vt:lpwstr>Emilia Moreno</vt:lpwstr>
  </property>
  <property fmtid="{D5CDD505-2E9C-101B-9397-08002B2CF9AE}" pid="6" name="_PreviousAdHocReviewCycleID">
    <vt:i4>997580229</vt:i4>
  </property>
  <property fmtid="{D5CDD505-2E9C-101B-9397-08002B2CF9AE}" pid="7" name="_ReviewingToolsShownOnce">
    <vt:lpwstr/>
  </property>
</Properties>
</file>